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5B4" w:rsidRDefault="004055B4" w:rsidP="004055B4">
      <w:pPr>
        <w:pStyle w:val="Heading5"/>
        <w:rPr>
          <w:szCs w:val="20"/>
        </w:rPr>
      </w:pPr>
    </w:p>
    <w:p w:rsidR="004055B4" w:rsidRPr="005B0C75" w:rsidRDefault="004055B4" w:rsidP="004055B4">
      <w:pPr>
        <w:pStyle w:val="Heading5"/>
        <w:rPr>
          <w:szCs w:val="20"/>
        </w:rPr>
      </w:pPr>
      <w:r w:rsidRPr="005B0C75">
        <w:rPr>
          <w:szCs w:val="20"/>
        </w:rPr>
        <w:t>Furniture Stores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jc w:val="center"/>
        <w:rPr>
          <w:rFonts w:ascii="Verdana" w:hAnsi="Verdana"/>
          <w:b/>
          <w:color w:val="3366FF"/>
          <w:sz w:val="20"/>
          <w:szCs w:val="20"/>
        </w:rPr>
      </w:pPr>
      <w:r w:rsidRPr="005B0C75">
        <w:rPr>
          <w:rFonts w:ascii="Verdana" w:hAnsi="Verdana"/>
          <w:b/>
          <w:color w:val="3366FF"/>
          <w:sz w:val="20"/>
          <w:szCs w:val="20"/>
        </w:rPr>
        <w:t>Furniture Needs a Home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  <w:r w:rsidRPr="005B0C75">
        <w:rPr>
          <w:rFonts w:ascii="Verdana" w:hAnsi="Verdana"/>
          <w:sz w:val="20"/>
          <w:szCs w:val="20"/>
        </w:rPr>
        <w:tab/>
      </w:r>
    </w:p>
    <w:p w:rsidR="004055B4" w:rsidRPr="005B0C75" w:rsidRDefault="004055B4" w:rsidP="004055B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B0C75">
        <w:rPr>
          <w:sz w:val="20"/>
          <w:szCs w:val="20"/>
        </w:rPr>
        <w:t>Quite simply, for furniture sales to increase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so must home sales. The US Census Bureau reported that sales of new single-family houses during August 2014 were at a seasonally adjusted annual rate of 504,000</w:t>
      </w:r>
      <w:r>
        <w:rPr>
          <w:sz w:val="20"/>
          <w:szCs w:val="20"/>
        </w:rPr>
        <w:t xml:space="preserve"> units</w:t>
      </w:r>
      <w:r w:rsidRPr="005B0C75">
        <w:rPr>
          <w:sz w:val="20"/>
          <w:szCs w:val="20"/>
        </w:rPr>
        <w:t>, or an 18-percent increase over July’s 427,000 homes and 33 percent more than August 2013’s 379,000 homes.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B0C75">
        <w:rPr>
          <w:sz w:val="20"/>
          <w:szCs w:val="20"/>
        </w:rPr>
        <w:t xml:space="preserve">For September 2014, sales of existing US homes decreased 1.7 percent, or </w:t>
      </w:r>
      <w:r>
        <w:rPr>
          <w:sz w:val="20"/>
          <w:szCs w:val="20"/>
        </w:rPr>
        <w:t xml:space="preserve">an </w:t>
      </w:r>
      <w:r w:rsidRPr="005B0C75">
        <w:rPr>
          <w:sz w:val="20"/>
          <w:szCs w:val="20"/>
        </w:rPr>
        <w:t xml:space="preserve">adjusted annual rate of 4.75 million; however, the median price increased 11.3 percent compared to September 2011. 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5B0C75">
        <w:rPr>
          <w:sz w:val="20"/>
          <w:szCs w:val="20"/>
        </w:rPr>
        <w:t>As the median price continues to increase, more owners will put their homes on the market and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coupled with mortgage rates at almost their lowest ever, most housing experts expect to see improvement in existing home sales.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jc w:val="center"/>
        <w:rPr>
          <w:rFonts w:ascii="Verdana" w:hAnsi="Verdana"/>
          <w:b/>
          <w:color w:val="3366FF"/>
          <w:sz w:val="20"/>
          <w:szCs w:val="20"/>
        </w:rPr>
      </w:pPr>
      <w:r w:rsidRPr="005B0C75">
        <w:rPr>
          <w:rFonts w:ascii="Verdana" w:hAnsi="Verdana"/>
          <w:b/>
          <w:color w:val="3366FF"/>
          <w:sz w:val="20"/>
          <w:szCs w:val="20"/>
        </w:rPr>
        <w:t>Sales Less Than Spectacular, But Satisfying</w:t>
      </w:r>
    </w:p>
    <w:p w:rsidR="004055B4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1"/>
        </w:numPr>
        <w:ind w:left="0"/>
        <w:rPr>
          <w:sz w:val="20"/>
          <w:szCs w:val="20"/>
        </w:rPr>
      </w:pPr>
      <w:r w:rsidRPr="005B0C75">
        <w:rPr>
          <w:sz w:val="20"/>
          <w:szCs w:val="20"/>
        </w:rPr>
        <w:t xml:space="preserve">Although the National Retail Federation (NRF) decreased its 2014 US retail sales forecast to 3.6 percent mid-year, it is projecting a robust increase of 3.9 percent </w:t>
      </w:r>
      <w:r>
        <w:rPr>
          <w:sz w:val="20"/>
          <w:szCs w:val="20"/>
        </w:rPr>
        <w:t>for the second half of the year,</w:t>
      </w:r>
      <w:r w:rsidRPr="005B0C75">
        <w:rPr>
          <w:sz w:val="20"/>
          <w:szCs w:val="20"/>
        </w:rPr>
        <w:t xml:space="preserve"> compared to 2.9 percent during the first half.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1"/>
        </w:numPr>
        <w:ind w:left="0"/>
        <w:rPr>
          <w:sz w:val="20"/>
          <w:szCs w:val="20"/>
        </w:rPr>
      </w:pPr>
      <w:r w:rsidRPr="005B0C75">
        <w:rPr>
          <w:sz w:val="20"/>
          <w:szCs w:val="20"/>
        </w:rPr>
        <w:t>The NRF has also estimated a 4.1-percent increase in US retail sales for the November and December 2014 holiday shopping season, compared to +3.1 percent for 2013, or a total of $616.9 billion. Online sales are expected to increase 8 to 11 percent.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1"/>
        </w:numPr>
        <w:ind w:left="0"/>
        <w:rPr>
          <w:sz w:val="20"/>
          <w:szCs w:val="20"/>
        </w:rPr>
      </w:pPr>
      <w:r w:rsidRPr="005B0C75">
        <w:rPr>
          <w:sz w:val="20"/>
          <w:szCs w:val="20"/>
        </w:rPr>
        <w:t>According to the US Census Bureau, August 2014 US retail sales increased 0.6 percent compared to July 2014 and 5.0 percent more than August 2013. For the furniture/home furnishings sector, the August increase was 0.7 percent over July 2014 and a 3.0-</w:t>
      </w:r>
      <w:r>
        <w:rPr>
          <w:sz w:val="20"/>
          <w:szCs w:val="20"/>
        </w:rPr>
        <w:t xml:space="preserve">percent </w:t>
      </w:r>
      <w:r w:rsidRPr="005B0C75">
        <w:rPr>
          <w:sz w:val="20"/>
          <w:szCs w:val="20"/>
        </w:rPr>
        <w:t>increase compared to August 2013.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1"/>
        </w:numPr>
        <w:ind w:left="0"/>
        <w:rPr>
          <w:sz w:val="20"/>
          <w:szCs w:val="20"/>
        </w:rPr>
      </w:pPr>
      <w:r w:rsidRPr="005B0C75">
        <w:rPr>
          <w:sz w:val="20"/>
          <w:szCs w:val="20"/>
        </w:rPr>
        <w:t>The most recent data from Statistics Canada reveal a 0.1-percent decrease in July 2014 retail sales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compared to June, but a 5.0-percent increase over July 2013. Furniture and home furnishings stores registered a 4.0-percent </w:t>
      </w:r>
      <w:r>
        <w:rPr>
          <w:sz w:val="20"/>
          <w:szCs w:val="20"/>
        </w:rPr>
        <w:t xml:space="preserve">increase </w:t>
      </w:r>
      <w:r w:rsidRPr="005B0C75">
        <w:rPr>
          <w:sz w:val="20"/>
          <w:szCs w:val="20"/>
        </w:rPr>
        <w:t>during July and a 7.3-percent increase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compared to July 2013.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Heading2"/>
        <w:rPr>
          <w:color w:val="auto"/>
          <w:szCs w:val="20"/>
        </w:rPr>
      </w:pPr>
      <w:r w:rsidRPr="005B0C75">
        <w:rPr>
          <w:color w:val="auto"/>
          <w:szCs w:val="20"/>
        </w:rPr>
        <w:t xml:space="preserve">US Retail Sales </w:t>
      </w:r>
      <w:proofErr w:type="gramStart"/>
      <w:r w:rsidRPr="005B0C75">
        <w:rPr>
          <w:color w:val="auto"/>
          <w:szCs w:val="20"/>
        </w:rPr>
        <w:t>By</w:t>
      </w:r>
      <w:proofErr w:type="gramEnd"/>
      <w:r w:rsidRPr="005B0C75">
        <w:rPr>
          <w:color w:val="auto"/>
          <w:szCs w:val="20"/>
        </w:rPr>
        <w:t xml:space="preserve"> Selected Sectors, August 2014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8"/>
        <w:gridCol w:w="1920"/>
        <w:gridCol w:w="1920"/>
      </w:tblGrid>
      <w:tr w:rsidR="004055B4" w:rsidRPr="005B0C75" w:rsidTr="00606E06">
        <w:trPr>
          <w:trHeight w:val="195"/>
          <w:jc w:val="center"/>
        </w:trPr>
        <w:tc>
          <w:tcPr>
            <w:tcW w:w="529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Sector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Month-to-Month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Year-over-Year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Building material, garden equipment and supplies</w:t>
            </w:r>
          </w:p>
        </w:tc>
        <w:tc>
          <w:tcPr>
            <w:tcW w:w="1920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+1.4%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+3.3%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Sporting goods, hobby, book and music</w:t>
            </w:r>
          </w:p>
        </w:tc>
        <w:tc>
          <w:tcPr>
            <w:tcW w:w="1920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+0.9%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+4.1%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CCFFCC"/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Furniture and home furnishings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+0.7%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+0.7%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Electronics and appliances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+0.7%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+0.5%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Health and personal care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+0.6%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+6.4%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Clothing and clothing accessories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+0.3%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+1.0%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Non-store (online)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+0.1%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+4.2%</w:t>
            </w:r>
          </w:p>
        </w:tc>
      </w:tr>
      <w:tr w:rsidR="004055B4" w:rsidRPr="005B0C75" w:rsidTr="00606E06">
        <w:trPr>
          <w:jc w:val="center"/>
        </w:trPr>
        <w:tc>
          <w:tcPr>
            <w:tcW w:w="529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General merchandise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-0.1%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+1.8%</w:t>
            </w:r>
          </w:p>
        </w:tc>
      </w:tr>
    </w:tbl>
    <w:p w:rsidR="004055B4" w:rsidRPr="005B0C75" w:rsidRDefault="004055B4" w:rsidP="004055B4">
      <w:pPr>
        <w:tabs>
          <w:tab w:val="left" w:pos="90"/>
        </w:tabs>
        <w:spacing w:after="0" w:line="240" w:lineRule="auto"/>
        <w:ind w:hanging="90"/>
        <w:rPr>
          <w:rFonts w:ascii="Verdana" w:hAnsi="Verdana"/>
          <w:sz w:val="16"/>
          <w:szCs w:val="16"/>
        </w:rPr>
      </w:pPr>
      <w:r w:rsidRPr="005B0C75">
        <w:rPr>
          <w:rFonts w:ascii="Verdana" w:hAnsi="Verdana"/>
          <w:sz w:val="16"/>
          <w:szCs w:val="16"/>
        </w:rPr>
        <w:tab/>
      </w:r>
      <w:r w:rsidRPr="005B0C75">
        <w:rPr>
          <w:rFonts w:ascii="Verdana" w:hAnsi="Verdana"/>
          <w:sz w:val="16"/>
          <w:szCs w:val="16"/>
        </w:rPr>
        <w:tab/>
        <w:t>National Retail Federation, September 2014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jc w:val="center"/>
        <w:rPr>
          <w:rFonts w:ascii="Verdana" w:hAnsi="Verdana"/>
          <w:b/>
          <w:color w:val="3366FF"/>
          <w:sz w:val="20"/>
          <w:szCs w:val="20"/>
        </w:rPr>
      </w:pPr>
      <w:r w:rsidRPr="005B0C75">
        <w:rPr>
          <w:rFonts w:ascii="Verdana" w:hAnsi="Verdana"/>
          <w:b/>
          <w:color w:val="3366FF"/>
          <w:sz w:val="20"/>
          <w:szCs w:val="20"/>
        </w:rPr>
        <w:t>The Furniture Manufacturing Sector Seesaw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color w:val="3366FF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3"/>
        </w:numPr>
        <w:tabs>
          <w:tab w:val="clear" w:pos="360"/>
        </w:tabs>
        <w:contextualSpacing w:val="0"/>
        <w:rPr>
          <w:sz w:val="20"/>
          <w:szCs w:val="20"/>
        </w:rPr>
      </w:pPr>
      <w:r w:rsidRPr="005B0C75">
        <w:rPr>
          <w:sz w:val="20"/>
          <w:szCs w:val="20"/>
        </w:rPr>
        <w:t>During September 2013, Furniture Brands International went</w:t>
      </w:r>
      <w:r>
        <w:rPr>
          <w:sz w:val="20"/>
          <w:szCs w:val="20"/>
        </w:rPr>
        <w:t xml:space="preserve"> into Chapter 11 bankruptcy. D</w:t>
      </w:r>
      <w:r w:rsidRPr="005B0C75">
        <w:rPr>
          <w:sz w:val="20"/>
          <w:szCs w:val="20"/>
        </w:rPr>
        <w:t xml:space="preserve">uring November, Heritage Home Group, a new company, acquired the bankrupt company’s assets and brands, including </w:t>
      </w:r>
      <w:proofErr w:type="spellStart"/>
      <w:r w:rsidRPr="005B0C75">
        <w:rPr>
          <w:sz w:val="20"/>
          <w:szCs w:val="20"/>
        </w:rPr>
        <w:t>Broyhill</w:t>
      </w:r>
      <w:proofErr w:type="spellEnd"/>
      <w:r w:rsidRPr="005B0C75">
        <w:rPr>
          <w:sz w:val="20"/>
          <w:szCs w:val="20"/>
        </w:rPr>
        <w:t>, Thomasville, Lane and others.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3"/>
        </w:numPr>
        <w:tabs>
          <w:tab w:val="clear" w:pos="360"/>
        </w:tabs>
        <w:contextualSpacing w:val="0"/>
        <w:rPr>
          <w:sz w:val="20"/>
          <w:szCs w:val="20"/>
        </w:rPr>
      </w:pPr>
      <w:r w:rsidRPr="005B0C75">
        <w:rPr>
          <w:sz w:val="20"/>
          <w:szCs w:val="20"/>
        </w:rPr>
        <w:t>During 2014, Heritage Home Group, Pearson Co. and Stanley Furniture closed one or more plants</w:t>
      </w:r>
      <w:r>
        <w:rPr>
          <w:sz w:val="20"/>
          <w:szCs w:val="20"/>
        </w:rPr>
        <w:t>;</w:t>
      </w:r>
      <w:r w:rsidRPr="005B0C75">
        <w:rPr>
          <w:sz w:val="20"/>
          <w:szCs w:val="20"/>
        </w:rPr>
        <w:t xml:space="preserve"> and La-Z-Boy decided to sell its youth furnishing brand, Lea Furniture.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B0C75">
        <w:rPr>
          <w:sz w:val="20"/>
          <w:szCs w:val="20"/>
        </w:rPr>
        <w:t>Other furniture manufacturers were experiencing positive gains: Hooker Furniture reporting a 4.5-percent increase in sales for FY 2014 and Bassett Furniture Industries increased sales 2.0 percent during Q1 2014, compared to Q1 2013.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5B0C75">
        <w:rPr>
          <w:sz w:val="20"/>
          <w:szCs w:val="20"/>
        </w:rPr>
        <w:t>For the period January–July 2014, new furniture factory orders increased 5 percent and shipments 6 percent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compared to the same period during 2013.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Heading2"/>
        <w:rPr>
          <w:color w:val="auto"/>
          <w:szCs w:val="20"/>
        </w:rPr>
      </w:pPr>
      <w:r w:rsidRPr="005B0C75">
        <w:rPr>
          <w:color w:val="auto"/>
          <w:szCs w:val="20"/>
        </w:rPr>
        <w:t>Furniture Factory Orders Comparisons for July 2014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9"/>
        <w:gridCol w:w="1530"/>
        <w:gridCol w:w="1530"/>
        <w:gridCol w:w="1530"/>
      </w:tblGrid>
      <w:tr w:rsidR="004055B4" w:rsidRPr="005B0C75" w:rsidTr="00606E06">
        <w:trPr>
          <w:trHeight w:val="195"/>
          <w:jc w:val="center"/>
        </w:trPr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Metric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Total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Change from June 2014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Change from July 2013</w:t>
            </w:r>
          </w:p>
        </w:tc>
      </w:tr>
      <w:tr w:rsidR="004055B4" w:rsidRPr="005B0C75" w:rsidTr="00606E06">
        <w:trPr>
          <w:jc w:val="center"/>
        </w:trPr>
        <w:tc>
          <w:tcPr>
            <w:tcW w:w="1669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New orders</w:t>
            </w:r>
          </w:p>
        </w:tc>
        <w:tc>
          <w:tcPr>
            <w:tcW w:w="1530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$1.928 B</w:t>
            </w:r>
          </w:p>
        </w:tc>
        <w:tc>
          <w:tcPr>
            <w:tcW w:w="15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---</w:t>
            </w:r>
          </w:p>
        </w:tc>
        <w:tc>
          <w:tcPr>
            <w:tcW w:w="153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+4%</w:t>
            </w:r>
          </w:p>
        </w:tc>
      </w:tr>
      <w:tr w:rsidR="004055B4" w:rsidRPr="005B0C75" w:rsidTr="00606E06">
        <w:trPr>
          <w:jc w:val="center"/>
        </w:trPr>
        <w:tc>
          <w:tcPr>
            <w:tcW w:w="1669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Shipments</w:t>
            </w:r>
          </w:p>
        </w:tc>
        <w:tc>
          <w:tcPr>
            <w:tcW w:w="1530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$1.964 B</w:t>
            </w:r>
          </w:p>
        </w:tc>
        <w:tc>
          <w:tcPr>
            <w:tcW w:w="153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-11%</w:t>
            </w:r>
          </w:p>
        </w:tc>
        <w:tc>
          <w:tcPr>
            <w:tcW w:w="153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+11%</w:t>
            </w:r>
          </w:p>
        </w:tc>
      </w:tr>
      <w:tr w:rsidR="004055B4" w:rsidRPr="005B0C75" w:rsidTr="00606E06">
        <w:trPr>
          <w:jc w:val="center"/>
        </w:trPr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Order backlog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$1.965 B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+2%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+5%</w:t>
            </w:r>
          </w:p>
        </w:tc>
      </w:tr>
    </w:tbl>
    <w:p w:rsidR="004055B4" w:rsidRPr="005B0C75" w:rsidRDefault="004055B4" w:rsidP="004055B4">
      <w:pPr>
        <w:tabs>
          <w:tab w:val="left" w:pos="1530"/>
        </w:tabs>
        <w:spacing w:after="0" w:line="240" w:lineRule="auto"/>
        <w:ind w:hanging="90"/>
        <w:rPr>
          <w:rFonts w:ascii="Verdana" w:hAnsi="Verdana"/>
          <w:sz w:val="16"/>
          <w:szCs w:val="16"/>
        </w:rPr>
      </w:pPr>
      <w:r w:rsidRPr="005B0C75">
        <w:rPr>
          <w:rFonts w:ascii="Verdana" w:hAnsi="Verdana"/>
          <w:sz w:val="16"/>
          <w:szCs w:val="16"/>
        </w:rPr>
        <w:tab/>
      </w:r>
      <w:r w:rsidRPr="005B0C75">
        <w:rPr>
          <w:rFonts w:ascii="Verdana" w:hAnsi="Verdana"/>
          <w:sz w:val="16"/>
          <w:szCs w:val="16"/>
        </w:rPr>
        <w:tab/>
      </w:r>
      <w:r w:rsidRPr="005B0C75">
        <w:rPr>
          <w:rFonts w:ascii="Verdana" w:hAnsi="Verdana"/>
          <w:i/>
          <w:sz w:val="16"/>
          <w:szCs w:val="16"/>
        </w:rPr>
        <w:t>Furniture Today</w:t>
      </w:r>
      <w:r w:rsidRPr="005B0C75">
        <w:rPr>
          <w:rFonts w:ascii="Verdana" w:hAnsi="Verdana"/>
          <w:sz w:val="16"/>
          <w:szCs w:val="16"/>
        </w:rPr>
        <w:t>, October 2014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jc w:val="center"/>
        <w:rPr>
          <w:rFonts w:ascii="Verdana" w:hAnsi="Verdana"/>
          <w:b/>
          <w:color w:val="3366FF"/>
          <w:sz w:val="20"/>
          <w:szCs w:val="20"/>
        </w:rPr>
      </w:pPr>
      <w:r w:rsidRPr="005B0C75">
        <w:rPr>
          <w:rFonts w:ascii="Verdana" w:hAnsi="Verdana"/>
          <w:b/>
          <w:color w:val="3366FF"/>
          <w:sz w:val="20"/>
          <w:szCs w:val="20"/>
        </w:rPr>
        <w:t>Top 100 for a Reason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B0C75">
        <w:rPr>
          <w:i/>
          <w:sz w:val="20"/>
          <w:szCs w:val="20"/>
        </w:rPr>
        <w:t>Furniture Today</w:t>
      </w:r>
      <w:r w:rsidRPr="005B0C75">
        <w:rPr>
          <w:sz w:val="20"/>
          <w:szCs w:val="20"/>
        </w:rPr>
        <w:t xml:space="preserve"> reported that total 2013 sales for its Top 100 Furniture Stores for 2014 increased 7.8 percent, from $31.7 billion for 2012 to $34.1 billion for 2013.</w:t>
      </w:r>
    </w:p>
    <w:p w:rsidR="004055B4" w:rsidRPr="005B0C75" w:rsidRDefault="004055B4" w:rsidP="004055B4">
      <w:pPr>
        <w:pStyle w:val="ListParagraph"/>
        <w:ind w:left="360"/>
        <w:rPr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4"/>
        </w:numPr>
        <w:contextualSpacing w:val="0"/>
        <w:rPr>
          <w:sz w:val="20"/>
          <w:szCs w:val="20"/>
        </w:rPr>
      </w:pPr>
      <w:r w:rsidRPr="005B0C75">
        <w:rPr>
          <w:sz w:val="20"/>
          <w:szCs w:val="20"/>
        </w:rPr>
        <w:t xml:space="preserve">Added to 2012’s increase of 9.9 percent, 2013 was the fourth consecutive year of annual sales growth for the Top 100 furniture stores. 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B0C75">
        <w:rPr>
          <w:sz w:val="20"/>
          <w:szCs w:val="20"/>
        </w:rPr>
        <w:t xml:space="preserve">A clear sign of the recovery of the retail furniture industry is that 55 companies in </w:t>
      </w:r>
      <w:r w:rsidRPr="005B0C75">
        <w:rPr>
          <w:i/>
          <w:sz w:val="20"/>
          <w:szCs w:val="20"/>
        </w:rPr>
        <w:t>Furniture Today</w:t>
      </w:r>
      <w:r w:rsidRPr="005B0C75">
        <w:rPr>
          <w:sz w:val="20"/>
          <w:szCs w:val="20"/>
        </w:rPr>
        <w:t xml:space="preserve">’s Top 100 list have either added new stores or plan expansion during 2014 and/or 2015. This hasn’t happened since 2006. </w:t>
      </w:r>
    </w:p>
    <w:p w:rsidR="004055B4" w:rsidRPr="005B0C75" w:rsidRDefault="004055B4" w:rsidP="004055B4">
      <w:pPr>
        <w:spacing w:after="0" w:line="240" w:lineRule="auto"/>
        <w:rPr>
          <w:sz w:val="20"/>
          <w:szCs w:val="20"/>
        </w:rPr>
      </w:pPr>
    </w:p>
    <w:p w:rsidR="004055B4" w:rsidRPr="005B0C75" w:rsidRDefault="004055B4" w:rsidP="004055B4">
      <w:pPr>
        <w:pStyle w:val="Heading2"/>
        <w:rPr>
          <w:color w:val="auto"/>
          <w:szCs w:val="20"/>
        </w:rPr>
      </w:pPr>
      <w:r w:rsidRPr="005B0C75">
        <w:rPr>
          <w:color w:val="auto"/>
          <w:szCs w:val="20"/>
        </w:rPr>
        <w:t xml:space="preserve">Expansion of US Furniture Stores on </w:t>
      </w:r>
      <w:r w:rsidRPr="008E6881">
        <w:rPr>
          <w:i/>
          <w:color w:val="auto"/>
          <w:szCs w:val="20"/>
        </w:rPr>
        <w:t>Furniture Today</w:t>
      </w:r>
      <w:r w:rsidRPr="005B0C75">
        <w:rPr>
          <w:color w:val="auto"/>
          <w:szCs w:val="20"/>
        </w:rPr>
        <w:t>’s Top 100 2014 List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2"/>
        <w:gridCol w:w="1376"/>
        <w:gridCol w:w="1350"/>
      </w:tblGrid>
      <w:tr w:rsidR="004055B4" w:rsidRPr="005B0C75" w:rsidTr="00606E06">
        <w:trPr>
          <w:trHeight w:val="195"/>
          <w:jc w:val="center"/>
        </w:trPr>
        <w:tc>
          <w:tcPr>
            <w:tcW w:w="529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Store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New Stores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Total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#1: Ashley Furniture</w:t>
            </w:r>
          </w:p>
        </w:tc>
        <w:tc>
          <w:tcPr>
            <w:tcW w:w="1376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500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#2: Ikea</w:t>
            </w:r>
          </w:p>
        </w:tc>
        <w:tc>
          <w:tcPr>
            <w:tcW w:w="1376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51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#5: Mattress Firm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165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1,635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#11: Sleepy’s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61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1,000+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#13: Sleep Number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400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#14: Bob’s Discount Furniture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45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#18: Art Van Furniture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92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#19: Sleep Train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100+</w:t>
            </w:r>
          </w:p>
        </w:tc>
      </w:tr>
      <w:tr w:rsidR="004055B4" w:rsidRPr="005B0C75" w:rsidTr="00606E06">
        <w:trPr>
          <w:jc w:val="center"/>
        </w:trPr>
        <w:tc>
          <w:tcPr>
            <w:tcW w:w="52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4055B4" w:rsidRPr="005B0C75" w:rsidRDefault="004055B4" w:rsidP="00606E0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#57: Back to Bed/Bedding Experts/Mattress Barn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055B4" w:rsidRPr="005B0C75" w:rsidRDefault="004055B4" w:rsidP="00606E06">
            <w:pPr>
              <w:spacing w:after="0" w:line="24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5B0C75">
              <w:rPr>
                <w:rFonts w:ascii="Verdana" w:hAnsi="Verdana"/>
                <w:sz w:val="20"/>
                <w:szCs w:val="20"/>
              </w:rPr>
              <w:t>156</w:t>
            </w:r>
          </w:p>
        </w:tc>
      </w:tr>
    </w:tbl>
    <w:p w:rsidR="004055B4" w:rsidRPr="005B0C75" w:rsidRDefault="004055B4" w:rsidP="004055B4">
      <w:pPr>
        <w:tabs>
          <w:tab w:val="left" w:pos="720"/>
        </w:tabs>
        <w:spacing w:after="0" w:line="240" w:lineRule="auto"/>
        <w:ind w:hanging="90"/>
        <w:rPr>
          <w:rFonts w:ascii="Verdana" w:hAnsi="Verdana"/>
          <w:sz w:val="16"/>
          <w:szCs w:val="16"/>
        </w:rPr>
      </w:pPr>
      <w:r w:rsidRPr="005B0C75">
        <w:rPr>
          <w:rFonts w:ascii="Verdana" w:hAnsi="Verdana"/>
          <w:sz w:val="16"/>
          <w:szCs w:val="16"/>
        </w:rPr>
        <w:tab/>
      </w:r>
      <w:r w:rsidRPr="005B0C75">
        <w:rPr>
          <w:rFonts w:ascii="Verdana" w:hAnsi="Verdana"/>
          <w:sz w:val="16"/>
          <w:szCs w:val="16"/>
        </w:rPr>
        <w:tab/>
      </w:r>
      <w:r w:rsidRPr="005B0C75">
        <w:rPr>
          <w:rFonts w:ascii="Verdana" w:hAnsi="Verdana"/>
          <w:i/>
          <w:sz w:val="16"/>
          <w:szCs w:val="16"/>
        </w:rPr>
        <w:t>Furniture Today</w:t>
      </w:r>
      <w:r w:rsidRPr="005B0C75">
        <w:rPr>
          <w:rFonts w:ascii="Verdana" w:hAnsi="Verdana"/>
          <w:sz w:val="16"/>
          <w:szCs w:val="16"/>
        </w:rPr>
        <w:t>, May 2014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jc w:val="center"/>
        <w:rPr>
          <w:rFonts w:ascii="Verdana" w:hAnsi="Verdana"/>
          <w:b/>
          <w:color w:val="3366FF"/>
          <w:sz w:val="20"/>
          <w:szCs w:val="20"/>
        </w:rPr>
      </w:pPr>
      <w:r w:rsidRPr="005B0C75">
        <w:rPr>
          <w:rFonts w:ascii="Verdana" w:hAnsi="Verdana"/>
          <w:b/>
          <w:color w:val="3366FF"/>
          <w:sz w:val="20"/>
          <w:szCs w:val="20"/>
        </w:rPr>
        <w:t>A Flexible Future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B0C75">
        <w:rPr>
          <w:sz w:val="20"/>
          <w:szCs w:val="20"/>
        </w:rPr>
        <w:t>The reduction in the size of living space is a trend that will impact</w:t>
      </w:r>
      <w:r>
        <w:rPr>
          <w:sz w:val="20"/>
          <w:szCs w:val="20"/>
        </w:rPr>
        <w:t xml:space="preserve"> the furniture industry. For 20</w:t>
      </w:r>
      <w:r w:rsidRPr="005B0C75">
        <w:rPr>
          <w:sz w:val="20"/>
          <w:szCs w:val="20"/>
        </w:rPr>
        <w:t xml:space="preserve">15, the average size of a single-family home will be 2,150 square feet, or 250 square feet less than 2014, and during 2013 the average apartment had shrunk to 982 square feet. 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B0C75">
        <w:rPr>
          <w:sz w:val="20"/>
          <w:szCs w:val="20"/>
        </w:rPr>
        <w:t>With this change in living space, formal dining rooms and dining room furniture are disappearing; however, consumers are replacing them with casual dining sty</w:t>
      </w:r>
      <w:r>
        <w:rPr>
          <w:sz w:val="20"/>
          <w:szCs w:val="20"/>
        </w:rPr>
        <w:t>les, such as</w:t>
      </w:r>
      <w:r w:rsidRPr="005B0C7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48” </w:t>
      </w:r>
      <w:r w:rsidRPr="005B0C75">
        <w:rPr>
          <w:sz w:val="20"/>
          <w:szCs w:val="20"/>
        </w:rPr>
        <w:t>round tables and rectangular tables with benches</w:t>
      </w:r>
      <w:r>
        <w:rPr>
          <w:sz w:val="20"/>
          <w:szCs w:val="20"/>
        </w:rPr>
        <w:t>,</w:t>
      </w:r>
      <w:r w:rsidRPr="005B0C75">
        <w:rPr>
          <w:sz w:val="20"/>
          <w:szCs w:val="20"/>
        </w:rPr>
        <w:t xml:space="preserve"> for more informal gatherings. 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B0C75">
        <w:rPr>
          <w:sz w:val="20"/>
          <w:szCs w:val="20"/>
        </w:rPr>
        <w:t xml:space="preserve">The October 2014 issue of </w:t>
      </w:r>
      <w:r w:rsidRPr="005B0C75">
        <w:rPr>
          <w:i/>
          <w:sz w:val="20"/>
          <w:szCs w:val="20"/>
        </w:rPr>
        <w:t>Retail Now Magazine</w:t>
      </w:r>
      <w:r w:rsidRPr="005B0C75">
        <w:rPr>
          <w:sz w:val="20"/>
          <w:szCs w:val="20"/>
        </w:rPr>
        <w:t xml:space="preserve"> reported that 3D printing would be a beneficial technology for furniture </w:t>
      </w:r>
      <w:r>
        <w:rPr>
          <w:sz w:val="20"/>
          <w:szCs w:val="20"/>
        </w:rPr>
        <w:t>retailers because it</w:t>
      </w:r>
      <w:r w:rsidRPr="005B0C75">
        <w:rPr>
          <w:sz w:val="20"/>
          <w:szCs w:val="20"/>
        </w:rPr>
        <w:t xml:space="preserve"> will </w:t>
      </w:r>
      <w:r>
        <w:rPr>
          <w:sz w:val="20"/>
          <w:szCs w:val="20"/>
        </w:rPr>
        <w:t>reduce their</w:t>
      </w:r>
      <w:r w:rsidRPr="005B0C75">
        <w:rPr>
          <w:sz w:val="20"/>
          <w:szCs w:val="20"/>
        </w:rPr>
        <w:t xml:space="preserve"> </w:t>
      </w:r>
      <w:r>
        <w:rPr>
          <w:sz w:val="20"/>
          <w:szCs w:val="20"/>
        </w:rPr>
        <w:t>reliance</w:t>
      </w:r>
      <w:r w:rsidRPr="005B0C75">
        <w:rPr>
          <w:sz w:val="20"/>
          <w:szCs w:val="20"/>
        </w:rPr>
        <w:t xml:space="preserve"> on manufacturers. Stores will be able to print a replacement dining room chair, for example, and even a consumer’s own furniture design.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20"/>
          <w:szCs w:val="20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16"/>
          <w:szCs w:val="16"/>
        </w:rPr>
      </w:pPr>
      <w:r w:rsidRPr="005B0C75">
        <w:rPr>
          <w:rFonts w:ascii="Verdana" w:hAnsi="Verdana"/>
          <w:i/>
          <w:sz w:val="16"/>
          <w:szCs w:val="16"/>
        </w:rPr>
        <w:t>Sources:</w:t>
      </w:r>
      <w:r w:rsidRPr="005B0C75">
        <w:rPr>
          <w:rFonts w:ascii="Verdana" w:hAnsi="Verdana"/>
          <w:sz w:val="16"/>
          <w:szCs w:val="16"/>
        </w:rPr>
        <w:t xml:space="preserve"> US Census Bureau Website, 10/14; Bloomberg Website, 10/14; Statistics Canada Website, 10/14; </w:t>
      </w:r>
      <w:r w:rsidRPr="005B0C75">
        <w:rPr>
          <w:rFonts w:ascii="Verdana" w:hAnsi="Verdana"/>
          <w:i/>
          <w:sz w:val="16"/>
          <w:szCs w:val="16"/>
        </w:rPr>
        <w:t>Furniture Today</w:t>
      </w:r>
      <w:r w:rsidRPr="005B0C75">
        <w:rPr>
          <w:rFonts w:ascii="Verdana" w:hAnsi="Verdana"/>
          <w:sz w:val="16"/>
          <w:szCs w:val="16"/>
        </w:rPr>
        <w:t xml:space="preserve"> Website, 10/14; National Retail Federation Website, 10/14; </w:t>
      </w:r>
      <w:r w:rsidRPr="005B0C75">
        <w:rPr>
          <w:rFonts w:ascii="Verdana" w:hAnsi="Verdana"/>
          <w:i/>
          <w:sz w:val="16"/>
          <w:szCs w:val="16"/>
        </w:rPr>
        <w:t>Retail Now Magazine</w:t>
      </w:r>
      <w:r w:rsidRPr="005B0C75">
        <w:rPr>
          <w:rFonts w:ascii="Verdana" w:hAnsi="Verdana"/>
          <w:sz w:val="16"/>
          <w:szCs w:val="16"/>
        </w:rPr>
        <w:t xml:space="preserve"> Website, 10/14.</w:t>
      </w:r>
    </w:p>
    <w:p w:rsidR="004055B4" w:rsidRPr="005B0C75" w:rsidRDefault="004055B4" w:rsidP="004055B4">
      <w:pPr>
        <w:spacing w:after="0" w:line="240" w:lineRule="auto"/>
        <w:rPr>
          <w:rFonts w:ascii="Verdana" w:hAnsi="Verdana"/>
          <w:sz w:val="16"/>
          <w:szCs w:val="16"/>
        </w:rPr>
      </w:pPr>
    </w:p>
    <w:p w:rsidR="004055B4" w:rsidRPr="005B0C75" w:rsidRDefault="004055B4" w:rsidP="004055B4">
      <w:pPr>
        <w:spacing w:after="0" w:line="240" w:lineRule="auto"/>
        <w:rPr>
          <w:rFonts w:ascii="Verdana" w:hAnsi="Verdana"/>
          <w:strike/>
          <w:sz w:val="16"/>
          <w:szCs w:val="16"/>
        </w:rPr>
      </w:pPr>
      <w:r w:rsidRPr="005B0C75">
        <w:rPr>
          <w:rFonts w:ascii="Verdana" w:hAnsi="Verdana"/>
          <w:i/>
          <w:sz w:val="16"/>
          <w:szCs w:val="16"/>
        </w:rPr>
        <w:t>Updated</w:t>
      </w:r>
      <w:r w:rsidRPr="005B0C75">
        <w:rPr>
          <w:rFonts w:ascii="Verdana" w:hAnsi="Verdana"/>
          <w:sz w:val="16"/>
          <w:szCs w:val="16"/>
        </w:rPr>
        <w:t>: October 2014</w:t>
      </w:r>
    </w:p>
    <w:p w:rsidR="004055B4" w:rsidRPr="005B0C75" w:rsidRDefault="004055B4" w:rsidP="004055B4">
      <w:pPr>
        <w:pStyle w:val="Header"/>
        <w:rPr>
          <w:rFonts w:ascii="Verdana" w:hAnsi="Verdana"/>
          <w:sz w:val="20"/>
          <w:szCs w:val="20"/>
        </w:rPr>
      </w:pPr>
    </w:p>
    <w:p w:rsidR="00260DE9" w:rsidRPr="00260DE9" w:rsidRDefault="00260DE9" w:rsidP="00260DE9">
      <w:pPr>
        <w:pStyle w:val="NoSpacing"/>
        <w:rPr>
          <w:sz w:val="20"/>
          <w:szCs w:val="20"/>
        </w:rPr>
      </w:pPr>
    </w:p>
    <w:sectPr w:rsidR="00260DE9" w:rsidRPr="00260DE9" w:rsidSect="00260DE9">
      <w:headerReference w:type="default" r:id="rId8"/>
      <w:footerReference w:type="default" r:id="rId9"/>
      <w:pgSz w:w="12240" w:h="15840" w:code="1"/>
      <w:pgMar w:top="2160" w:right="1440" w:bottom="1440" w:left="1440" w:header="14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B25" w:rsidRDefault="00B10B25" w:rsidP="00260DE9">
      <w:pPr>
        <w:spacing w:after="0" w:line="240" w:lineRule="auto"/>
      </w:pPr>
      <w:r>
        <w:separator/>
      </w:r>
    </w:p>
  </w:endnote>
  <w:endnote w:type="continuationSeparator" w:id="0">
    <w:p w:rsidR="00B10B25" w:rsidRDefault="00B10B25" w:rsidP="0026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E9B" w:rsidRDefault="003E2E9B" w:rsidP="003E2E9B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>
          <wp:extent cx="300990" cy="300990"/>
          <wp:effectExtent l="19050" t="0" r="3810" b="0"/>
          <wp:docPr id="4" name="Picture 3" descr="MGOlogoBlack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OlogoBlack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42" cy="300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60DE9" w:rsidRPr="0097480E" w:rsidRDefault="00EF6AB9" w:rsidP="00EF6AB9">
    <w:pPr>
      <w:pStyle w:val="Footer"/>
      <w:jc w:val="center"/>
      <w:rPr>
        <w:rFonts w:ascii="Arial" w:hAnsi="Arial" w:cs="Arial"/>
        <w:sz w:val="16"/>
        <w:szCs w:val="16"/>
      </w:rPr>
    </w:pPr>
    <w:r w:rsidRPr="0097480E">
      <w:rPr>
        <w:rFonts w:ascii="Arial" w:hAnsi="Arial" w:cs="Arial"/>
        <w:sz w:val="16"/>
        <w:szCs w:val="16"/>
        <w:shd w:val="clear" w:color="auto" w:fill="FFFFFF"/>
      </w:rPr>
      <w:t>Media Group Online, Inc.</w:t>
    </w:r>
    <w:r w:rsidRPr="0097480E">
      <w:rPr>
        <w:rFonts w:ascii="Arial" w:hAnsi="Arial" w:cs="Arial"/>
        <w:sz w:val="16"/>
        <w:szCs w:val="16"/>
      </w:rPr>
      <w:t xml:space="preserve">• </w:t>
    </w:r>
    <w:r w:rsidRPr="0097480E">
      <w:rPr>
        <w:rFonts w:ascii="Arial" w:hAnsi="Arial" w:cs="Arial"/>
        <w:sz w:val="16"/>
        <w:szCs w:val="16"/>
        <w:shd w:val="clear" w:color="auto" w:fill="FFFFFF"/>
      </w:rPr>
      <w:t>103 Sterling Mine Rd.</w:t>
    </w:r>
    <w:r w:rsidRPr="0097480E">
      <w:rPr>
        <w:rFonts w:ascii="Arial" w:hAnsi="Arial" w:cs="Arial"/>
        <w:sz w:val="16"/>
        <w:szCs w:val="16"/>
      </w:rPr>
      <w:t xml:space="preserve">• </w:t>
    </w:r>
    <w:r w:rsidRPr="0097480E">
      <w:rPr>
        <w:rFonts w:ascii="Arial" w:hAnsi="Arial" w:cs="Arial"/>
        <w:sz w:val="16"/>
        <w:szCs w:val="16"/>
        <w:shd w:val="clear" w:color="auto" w:fill="FFFFFF"/>
      </w:rPr>
      <w:t xml:space="preserve">Sloatsburg, NY </w:t>
    </w:r>
    <w:r w:rsidR="0097480E" w:rsidRPr="0097480E">
      <w:rPr>
        <w:rFonts w:ascii="Arial" w:hAnsi="Arial" w:cs="Arial"/>
        <w:sz w:val="16"/>
        <w:szCs w:val="16"/>
        <w:shd w:val="clear" w:color="auto" w:fill="FFFFFF"/>
      </w:rPr>
      <w:t>10974</w:t>
    </w:r>
    <w:r w:rsidRPr="0097480E">
      <w:rPr>
        <w:rFonts w:ascii="Arial" w:hAnsi="Arial" w:cs="Arial"/>
        <w:sz w:val="16"/>
        <w:szCs w:val="16"/>
        <w:shd w:val="clear" w:color="auto" w:fill="FFFFFF"/>
      </w:rPr>
      <w:t xml:space="preserve"> </w:t>
    </w:r>
    <w:r w:rsidRPr="0097480E">
      <w:rPr>
        <w:rFonts w:ascii="Arial" w:hAnsi="Arial" w:cs="Arial"/>
        <w:sz w:val="16"/>
        <w:szCs w:val="16"/>
      </w:rPr>
      <w:t>• Tel 866-921-1026 • Fax 845-712-5168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B25" w:rsidRDefault="00B10B25" w:rsidP="00260DE9">
      <w:pPr>
        <w:spacing w:after="0" w:line="240" w:lineRule="auto"/>
      </w:pPr>
      <w:r>
        <w:separator/>
      </w:r>
    </w:p>
  </w:footnote>
  <w:footnote w:type="continuationSeparator" w:id="0">
    <w:p w:rsidR="00B10B25" w:rsidRDefault="00B10B25" w:rsidP="00260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DE9" w:rsidRDefault="003E2E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-773430</wp:posOffset>
          </wp:positionH>
          <wp:positionV relativeFrom="paragraph">
            <wp:posOffset>-812225</wp:posOffset>
          </wp:positionV>
          <wp:extent cx="6610350" cy="1333500"/>
          <wp:effectExtent l="19050" t="0" r="0" b="0"/>
          <wp:wrapNone/>
          <wp:docPr id="2" name="Picture 1" descr="MGOProfiler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OProfiler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0350" cy="133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A017A"/>
    <w:multiLevelType w:val="hybridMultilevel"/>
    <w:tmpl w:val="AF48042E"/>
    <w:lvl w:ilvl="0" w:tplc="A5843B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4514B"/>
    <w:multiLevelType w:val="hybridMultilevel"/>
    <w:tmpl w:val="FFCE48D0"/>
    <w:lvl w:ilvl="0" w:tplc="A5843B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D3525"/>
    <w:multiLevelType w:val="hybridMultilevel"/>
    <w:tmpl w:val="0BAE5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AF3E02"/>
    <w:multiLevelType w:val="hybridMultilevel"/>
    <w:tmpl w:val="7D20AB70"/>
    <w:lvl w:ilvl="0" w:tplc="A5843B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076AC"/>
    <w:multiLevelType w:val="hybridMultilevel"/>
    <w:tmpl w:val="64C0B05A"/>
    <w:lvl w:ilvl="0" w:tplc="A5843B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E9"/>
    <w:rsid w:val="000052A8"/>
    <w:rsid w:val="000830D7"/>
    <w:rsid w:val="00260DE9"/>
    <w:rsid w:val="003E2E9B"/>
    <w:rsid w:val="004055B4"/>
    <w:rsid w:val="00494CA5"/>
    <w:rsid w:val="007B6E29"/>
    <w:rsid w:val="0097480E"/>
    <w:rsid w:val="009A6479"/>
    <w:rsid w:val="00A031C1"/>
    <w:rsid w:val="00B10B25"/>
    <w:rsid w:val="00E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F0076"/>
  <w15:docId w15:val="{00033884-83A0-4105-8CD5-C8A13830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052A8"/>
  </w:style>
  <w:style w:type="paragraph" w:styleId="Heading2">
    <w:name w:val="heading 2"/>
    <w:basedOn w:val="Normal"/>
    <w:next w:val="Normal"/>
    <w:link w:val="Heading2Char"/>
    <w:qFormat/>
    <w:rsid w:val="004055B4"/>
    <w:pPr>
      <w:keepNext/>
      <w:spacing w:after="0" w:line="240" w:lineRule="auto"/>
      <w:jc w:val="center"/>
      <w:outlineLvl w:val="1"/>
    </w:pPr>
    <w:rPr>
      <w:rFonts w:ascii="Verdana" w:eastAsia="Cambria" w:hAnsi="Verdana" w:cs="Times New Roman"/>
      <w:b/>
      <w:color w:val="3366FF"/>
      <w:sz w:val="20"/>
    </w:rPr>
  </w:style>
  <w:style w:type="paragraph" w:styleId="Heading5">
    <w:name w:val="heading 5"/>
    <w:basedOn w:val="Normal"/>
    <w:next w:val="Normal"/>
    <w:link w:val="Heading5Char"/>
    <w:qFormat/>
    <w:rsid w:val="004055B4"/>
    <w:pPr>
      <w:keepNext/>
      <w:spacing w:after="0" w:line="240" w:lineRule="auto"/>
      <w:outlineLvl w:val="4"/>
    </w:pPr>
    <w:rPr>
      <w:rFonts w:ascii="Verdana" w:eastAsia="Cambria" w:hAnsi="Verdana" w:cs="Times New Roman"/>
      <w:b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60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E9"/>
  </w:style>
  <w:style w:type="paragraph" w:styleId="Footer">
    <w:name w:val="footer"/>
    <w:basedOn w:val="Normal"/>
    <w:link w:val="FooterChar"/>
    <w:uiPriority w:val="99"/>
    <w:unhideWhenUsed/>
    <w:rsid w:val="00260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E9"/>
  </w:style>
  <w:style w:type="paragraph" w:styleId="NoSpacing">
    <w:name w:val="No Spacing"/>
    <w:uiPriority w:val="1"/>
    <w:qFormat/>
    <w:rsid w:val="00260D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E9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055B4"/>
    <w:rPr>
      <w:rFonts w:ascii="Verdana" w:eastAsia="Cambria" w:hAnsi="Verdana" w:cs="Times New Roman"/>
      <w:b/>
      <w:color w:val="3366FF"/>
      <w:sz w:val="20"/>
    </w:rPr>
  </w:style>
  <w:style w:type="character" w:customStyle="1" w:styleId="Heading5Char">
    <w:name w:val="Heading 5 Char"/>
    <w:basedOn w:val="DefaultParagraphFont"/>
    <w:link w:val="Heading5"/>
    <w:rsid w:val="004055B4"/>
    <w:rPr>
      <w:rFonts w:ascii="Verdana" w:eastAsia="Cambria" w:hAnsi="Verdana" w:cs="Times New Roman"/>
      <w:b/>
      <w:color w:val="FF0000"/>
      <w:sz w:val="20"/>
    </w:rPr>
  </w:style>
  <w:style w:type="paragraph" w:styleId="ListParagraph">
    <w:name w:val="List Paragraph"/>
    <w:basedOn w:val="Normal"/>
    <w:uiPriority w:val="34"/>
    <w:qFormat/>
    <w:rsid w:val="004055B4"/>
    <w:pPr>
      <w:spacing w:after="0" w:line="240" w:lineRule="auto"/>
      <w:ind w:left="720"/>
      <w:contextualSpacing/>
    </w:pPr>
    <w:rPr>
      <w:rFonts w:ascii="Verdana" w:eastAsia="Cambria" w:hAnsi="Verda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707ED-653C-40E4-9EDB-9B6A45F04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Whelan</dc:creator>
  <cp:lastModifiedBy>carol massaro</cp:lastModifiedBy>
  <cp:revision>2</cp:revision>
  <dcterms:created xsi:type="dcterms:W3CDTF">2017-06-08T14:43:00Z</dcterms:created>
  <dcterms:modified xsi:type="dcterms:W3CDTF">2017-06-08T14:43:00Z</dcterms:modified>
</cp:coreProperties>
</file>