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B49F06" w14:textId="4EA8E1D4" w:rsidR="00F94CE8" w:rsidRPr="00E10A93" w:rsidRDefault="00357E35" w:rsidP="00F94CE8">
      <w:pPr>
        <w:pStyle w:val="NoSpacing"/>
        <w:rPr>
          <w:sz w:val="20"/>
          <w:szCs w:val="20"/>
        </w:rPr>
      </w:pPr>
      <w:r w:rsidRPr="00E10A93">
        <w:rPr>
          <w:b/>
          <w:color w:val="FF0000"/>
          <w:sz w:val="20"/>
          <w:szCs w:val="20"/>
        </w:rPr>
        <w:t>Beauty Market and Hair &amp; Nail Salons 2018</w:t>
      </w:r>
    </w:p>
    <w:p w14:paraId="79457408" w14:textId="77777777" w:rsidR="00260DE9" w:rsidRPr="00E10A93" w:rsidRDefault="00260DE9" w:rsidP="00260DE9">
      <w:pPr>
        <w:pStyle w:val="NoSpacing"/>
        <w:rPr>
          <w:sz w:val="20"/>
          <w:szCs w:val="20"/>
        </w:rPr>
      </w:pPr>
    </w:p>
    <w:p w14:paraId="305C59E3" w14:textId="499702CF" w:rsidR="00EF7F15" w:rsidRPr="00E10A93" w:rsidRDefault="00EF6189" w:rsidP="00EF7F15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  <w:r w:rsidRPr="00E10A93">
        <w:rPr>
          <w:b/>
          <w:color w:val="3366FF"/>
          <w:sz w:val="20"/>
          <w:szCs w:val="20"/>
        </w:rPr>
        <w:t xml:space="preserve">The </w:t>
      </w:r>
      <w:r w:rsidR="00EF7F15" w:rsidRPr="00E10A93">
        <w:rPr>
          <w:b/>
          <w:color w:val="3366FF"/>
          <w:sz w:val="20"/>
          <w:szCs w:val="20"/>
        </w:rPr>
        <w:t xml:space="preserve">Beauty </w:t>
      </w:r>
      <w:r w:rsidRPr="00E10A93">
        <w:rPr>
          <w:b/>
          <w:color w:val="3366FF"/>
          <w:sz w:val="20"/>
          <w:szCs w:val="20"/>
        </w:rPr>
        <w:t>Business Is “</w:t>
      </w:r>
      <w:r w:rsidR="00E10A93" w:rsidRPr="00E10A93">
        <w:rPr>
          <w:b/>
          <w:color w:val="3366FF"/>
          <w:sz w:val="20"/>
          <w:szCs w:val="20"/>
        </w:rPr>
        <w:t>Beauteous</w:t>
      </w:r>
      <w:r w:rsidRPr="00E10A93">
        <w:rPr>
          <w:b/>
          <w:color w:val="3366FF"/>
          <w:sz w:val="20"/>
          <w:szCs w:val="20"/>
        </w:rPr>
        <w:t>”</w:t>
      </w:r>
    </w:p>
    <w:p w14:paraId="61F11807" w14:textId="77777777" w:rsidR="00EF7F15" w:rsidRPr="00E10A93" w:rsidRDefault="00EF7F15" w:rsidP="00EF7F15">
      <w:pPr>
        <w:spacing w:after="0" w:line="240" w:lineRule="auto"/>
        <w:contextualSpacing/>
        <w:rPr>
          <w:sz w:val="20"/>
          <w:szCs w:val="20"/>
        </w:rPr>
      </w:pPr>
    </w:p>
    <w:p w14:paraId="7933B814" w14:textId="345163A1" w:rsidR="00EF7F15" w:rsidRPr="00E10A93" w:rsidRDefault="00F96262" w:rsidP="00EF7F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 xml:space="preserve">According to </w:t>
      </w:r>
      <w:r w:rsidR="00E3115F" w:rsidRPr="00E10A93">
        <w:rPr>
          <w:sz w:val="20"/>
          <w:szCs w:val="20"/>
        </w:rPr>
        <w:t>Euromonitor International</w:t>
      </w:r>
      <w:r w:rsidRPr="00E10A93">
        <w:rPr>
          <w:sz w:val="20"/>
          <w:szCs w:val="20"/>
        </w:rPr>
        <w:t>,</w:t>
      </w:r>
      <w:r w:rsidR="00E3115F" w:rsidRPr="00E10A93">
        <w:rPr>
          <w:sz w:val="20"/>
          <w:szCs w:val="20"/>
        </w:rPr>
        <w:t xml:space="preserve"> YOY global spe</w:t>
      </w:r>
      <w:r w:rsidR="005E38A5">
        <w:rPr>
          <w:sz w:val="20"/>
          <w:szCs w:val="20"/>
        </w:rPr>
        <w:t>nding on color cosmetics has significantly</w:t>
      </w:r>
      <w:r w:rsidR="00E3115F" w:rsidRPr="00E10A93">
        <w:rPr>
          <w:sz w:val="20"/>
          <w:szCs w:val="20"/>
        </w:rPr>
        <w:t xml:space="preserve"> outpaced women’s apparel, 7.1% compared to 3.1% for 2016. </w:t>
      </w:r>
    </w:p>
    <w:p w14:paraId="5029DAEA" w14:textId="77777777" w:rsidR="00EF7F15" w:rsidRPr="00E10A93" w:rsidRDefault="00EF7F15" w:rsidP="00EF7F15">
      <w:pPr>
        <w:spacing w:after="0" w:line="240" w:lineRule="auto"/>
        <w:contextualSpacing/>
        <w:rPr>
          <w:sz w:val="20"/>
          <w:szCs w:val="20"/>
        </w:rPr>
      </w:pPr>
    </w:p>
    <w:p w14:paraId="70C02264" w14:textId="010F3593" w:rsidR="00EF7F15" w:rsidRPr="00E10A93" w:rsidRDefault="0053329E" w:rsidP="00EF7F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Social media is a boost to standalone beauty retailers, such as</w:t>
      </w:r>
      <w:r w:rsidR="009D42CB" w:rsidRPr="00E10A93">
        <w:rPr>
          <w:sz w:val="20"/>
          <w:szCs w:val="20"/>
        </w:rPr>
        <w:t xml:space="preserve"> Ulta and Sephora. </w:t>
      </w:r>
      <w:r w:rsidR="00E3115F" w:rsidRPr="00E10A93">
        <w:rPr>
          <w:sz w:val="20"/>
          <w:szCs w:val="20"/>
        </w:rPr>
        <w:t>Shoppers are increasingly trying to copy the looks they find on Instagram, Pinterest and YouTube. The rise of the selfie and themed makeup are also market drivers.</w:t>
      </w:r>
    </w:p>
    <w:p w14:paraId="15F438F0" w14:textId="77777777" w:rsidR="00EF7F15" w:rsidRPr="00E10A93" w:rsidRDefault="00EF7F15" w:rsidP="00EF7F15">
      <w:pPr>
        <w:spacing w:after="0" w:line="240" w:lineRule="auto"/>
        <w:contextualSpacing/>
        <w:rPr>
          <w:sz w:val="20"/>
          <w:szCs w:val="20"/>
        </w:rPr>
      </w:pPr>
    </w:p>
    <w:p w14:paraId="55390429" w14:textId="3E1E2145" w:rsidR="00EF7F15" w:rsidRPr="00E10A93" w:rsidRDefault="007221BF" w:rsidP="00EF7F15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 xml:space="preserve">The three largest beauty specialist retailers in the US are Ulta, with $4.85 billion in </w:t>
      </w:r>
      <w:r w:rsidR="0053329E" w:rsidRPr="00E10A93">
        <w:rPr>
          <w:sz w:val="20"/>
          <w:szCs w:val="20"/>
        </w:rPr>
        <w:t>2017 revenues</w:t>
      </w:r>
      <w:r w:rsidRPr="00E10A93">
        <w:rPr>
          <w:sz w:val="20"/>
          <w:szCs w:val="20"/>
        </w:rPr>
        <w:t>,</w:t>
      </w:r>
      <w:r w:rsidR="00BF64BF" w:rsidRPr="00E10A93">
        <w:rPr>
          <w:sz w:val="20"/>
          <w:szCs w:val="20"/>
        </w:rPr>
        <w:t xml:space="preserve"> Sephora with an estimated $4.4</w:t>
      </w:r>
      <w:r w:rsidR="0053329E" w:rsidRPr="00E10A93">
        <w:rPr>
          <w:rFonts w:ascii="Verdana" w:hAnsi="Verdana"/>
          <w:sz w:val="20"/>
          <w:szCs w:val="20"/>
        </w:rPr>
        <w:t>–</w:t>
      </w:r>
      <w:r w:rsidRPr="00E10A93">
        <w:rPr>
          <w:sz w:val="20"/>
          <w:szCs w:val="20"/>
        </w:rPr>
        <w:t>$4.9 billion and Bath &amp; Body Works with $3.85 billion in revenue</w:t>
      </w:r>
      <w:r w:rsidR="0053329E" w:rsidRPr="00E10A93">
        <w:rPr>
          <w:sz w:val="20"/>
          <w:szCs w:val="20"/>
        </w:rPr>
        <w:t>s</w:t>
      </w:r>
      <w:r w:rsidRPr="00E10A93">
        <w:rPr>
          <w:sz w:val="20"/>
          <w:szCs w:val="20"/>
        </w:rPr>
        <w:t>.</w:t>
      </w:r>
      <w:r w:rsidR="00BF64BF" w:rsidRPr="00E10A93">
        <w:rPr>
          <w:sz w:val="20"/>
          <w:szCs w:val="20"/>
        </w:rPr>
        <w:t xml:space="preserve"> Consumers enjoy the ability to “play” with the makeup.</w:t>
      </w:r>
    </w:p>
    <w:p w14:paraId="6EAEE498" w14:textId="77777777" w:rsidR="007221BF" w:rsidRPr="00E10A93" w:rsidRDefault="007221BF" w:rsidP="007221BF">
      <w:pPr>
        <w:spacing w:after="0" w:line="240" w:lineRule="auto"/>
        <w:rPr>
          <w:sz w:val="20"/>
          <w:szCs w:val="20"/>
        </w:rPr>
      </w:pPr>
    </w:p>
    <w:p w14:paraId="24EF27EA" w14:textId="77777777" w:rsidR="0053329E" w:rsidRPr="00E10A93" w:rsidRDefault="00871276" w:rsidP="00EF7F15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 xml:space="preserve">Reasons for Shopping Most Often at Selected Retailers for </w:t>
      </w:r>
    </w:p>
    <w:p w14:paraId="076182D9" w14:textId="05DAF94E" w:rsidR="00EF7F15" w:rsidRPr="00E10A93" w:rsidRDefault="00871276" w:rsidP="00EF7F15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>Health and Beauty Aids</w:t>
      </w:r>
      <w:r w:rsidR="00EF7F15" w:rsidRPr="00E10A93">
        <w:rPr>
          <w:b/>
          <w:sz w:val="20"/>
          <w:szCs w:val="20"/>
        </w:rPr>
        <w:t xml:space="preserve">, </w:t>
      </w:r>
      <w:r w:rsidRPr="00E10A93">
        <w:rPr>
          <w:b/>
          <w:sz w:val="20"/>
          <w:szCs w:val="20"/>
        </w:rPr>
        <w:t xml:space="preserve">November </w:t>
      </w:r>
      <w:r w:rsidR="00EF7F15" w:rsidRPr="00E10A93">
        <w:rPr>
          <w:b/>
          <w:sz w:val="20"/>
          <w:szCs w:val="20"/>
        </w:rPr>
        <w:t>2016</w:t>
      </w:r>
    </w:p>
    <w:tbl>
      <w:tblPr>
        <w:tblW w:w="10054" w:type="dxa"/>
        <w:jc w:val="center"/>
        <w:tblBorders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1350"/>
        <w:gridCol w:w="1350"/>
        <w:gridCol w:w="1350"/>
        <w:gridCol w:w="1350"/>
        <w:gridCol w:w="1350"/>
        <w:gridCol w:w="1414"/>
      </w:tblGrid>
      <w:tr w:rsidR="00871276" w:rsidRPr="00E10A93" w14:paraId="0ECD2580" w14:textId="77777777" w:rsidTr="0053329E">
        <w:trPr>
          <w:jc w:val="center"/>
        </w:trPr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E56C2A" w14:textId="599DDAA3" w:rsidR="00871276" w:rsidRPr="00E10A93" w:rsidRDefault="00871276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Reason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76735CF9" w14:textId="6B14CA72" w:rsidR="00871276" w:rsidRPr="00E10A93" w:rsidRDefault="00871276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Walmart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2C2B4DE" w14:textId="17A77453" w:rsidR="00871276" w:rsidRPr="00E10A93" w:rsidRDefault="00871276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4" w:hanging="9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Target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2A17E97" w14:textId="0E263FD7" w:rsidR="00871276" w:rsidRPr="00E10A93" w:rsidRDefault="00871276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Amazon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1B8C8100" w14:textId="382FE6F3" w:rsidR="00871276" w:rsidRPr="00E10A93" w:rsidRDefault="00871276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Ulta</w:t>
            </w:r>
          </w:p>
        </w:tc>
        <w:tc>
          <w:tcPr>
            <w:tcW w:w="1350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14:paraId="48824DCF" w14:textId="20BBD8B6" w:rsidR="00871276" w:rsidRPr="00E10A93" w:rsidRDefault="00871276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 w:hanging="415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Sephora</w:t>
            </w:r>
          </w:p>
        </w:tc>
        <w:tc>
          <w:tcPr>
            <w:tcW w:w="1414" w:type="dxa"/>
            <w:tcBorders>
              <w:top w:val="single" w:sz="12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49EFC7B4" w14:textId="553EF3A9" w:rsidR="00871276" w:rsidRPr="00E10A93" w:rsidRDefault="00871276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center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Macy’s</w:t>
            </w:r>
          </w:p>
        </w:tc>
      </w:tr>
      <w:tr w:rsidR="00871276" w:rsidRPr="00E10A93" w14:paraId="6BCA1186" w14:textId="77777777" w:rsidTr="0053329E">
        <w:trPr>
          <w:jc w:val="center"/>
        </w:trPr>
        <w:tc>
          <w:tcPr>
            <w:tcW w:w="1890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24628F" w14:textId="182E1BBB" w:rsidR="00871276" w:rsidRPr="00E10A93" w:rsidRDefault="00871276" w:rsidP="00EF7F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Price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E5F797" w14:textId="174645B7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10A93">
              <w:rPr>
                <w:rFonts w:eastAsia="Times New Roman"/>
                <w:b/>
                <w:sz w:val="20"/>
                <w:szCs w:val="20"/>
              </w:rPr>
              <w:t>90.4%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584E92" w14:textId="7DED29E9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79.9%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CCB1467" w14:textId="0E6DC4D6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79.3%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FD067FA" w14:textId="2424FC84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52.7%</w:t>
            </w:r>
          </w:p>
        </w:tc>
        <w:tc>
          <w:tcPr>
            <w:tcW w:w="1350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5DA7356" w14:textId="39F82553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32.0%</w:t>
            </w:r>
          </w:p>
        </w:tc>
        <w:tc>
          <w:tcPr>
            <w:tcW w:w="1414" w:type="dxa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8875B66" w14:textId="7FBCC507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26.4%</w:t>
            </w:r>
          </w:p>
        </w:tc>
      </w:tr>
      <w:tr w:rsidR="00871276" w:rsidRPr="00E10A93" w14:paraId="1CC4A73A" w14:textId="77777777" w:rsidTr="0053329E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20F27BB" w14:textId="3BEAA063" w:rsidR="00871276" w:rsidRPr="00E10A93" w:rsidRDefault="00871276" w:rsidP="00EF7F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Location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A741A0F" w14:textId="07DFA29F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50.7%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3188538" w14:textId="296E51A7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10A93">
              <w:rPr>
                <w:rFonts w:eastAsia="Times New Roman"/>
                <w:b/>
                <w:sz w:val="20"/>
                <w:szCs w:val="20"/>
              </w:rPr>
              <w:t>60.1%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EBB9208" w14:textId="083F4DBC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9.2%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837A341" w14:textId="7F95E582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51.2%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DE0AD6" w14:textId="34929F9E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24.9%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D52639F" w14:textId="78023FBF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44.0%</w:t>
            </w:r>
          </w:p>
        </w:tc>
      </w:tr>
      <w:tr w:rsidR="00871276" w:rsidRPr="00E10A93" w14:paraId="2253E84B" w14:textId="77777777" w:rsidTr="0053329E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501517" w14:textId="3317CC6F" w:rsidR="00871276" w:rsidRPr="00E10A93" w:rsidRDefault="00871276" w:rsidP="00EF7F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Selection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E45F5F5" w14:textId="095469F1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56.4%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CF9B9B4" w14:textId="0670F73B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63.8%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561869" w14:textId="36C93A25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64.7%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401C46F" w14:textId="60C8819E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10A93">
              <w:rPr>
                <w:rFonts w:eastAsia="Times New Roman"/>
                <w:b/>
                <w:sz w:val="20"/>
                <w:szCs w:val="20"/>
              </w:rPr>
              <w:t>76.6%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F3752C" w14:textId="072184FC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65.4%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EE2EABB" w14:textId="2BF77151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52.2%</w:t>
            </w:r>
          </w:p>
        </w:tc>
      </w:tr>
      <w:tr w:rsidR="00871276" w:rsidRPr="00E10A93" w14:paraId="5978AC34" w14:textId="77777777" w:rsidTr="0053329E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8034F5B" w14:textId="330A8954" w:rsidR="00871276" w:rsidRPr="00E10A93" w:rsidRDefault="00871276" w:rsidP="00EF7F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Quality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207FBD4" w14:textId="4EC30BFD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20.5%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54961D" w14:textId="109B53C1" w:rsidR="00871276" w:rsidRPr="00E10A93" w:rsidRDefault="000B7D5C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36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32.8%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30F7C73" w14:textId="31E8C398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27.1%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9B46E77" w14:textId="49A465B3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60.1%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426352B" w14:textId="42DE68CE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10A93">
              <w:rPr>
                <w:rFonts w:eastAsia="Times New Roman"/>
                <w:b/>
                <w:sz w:val="20"/>
                <w:szCs w:val="20"/>
              </w:rPr>
              <w:t>74.5%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D25E4F" w14:textId="69678C70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51.5%</w:t>
            </w:r>
          </w:p>
        </w:tc>
      </w:tr>
      <w:tr w:rsidR="00871276" w:rsidRPr="00E10A93" w14:paraId="7352C3EB" w14:textId="77777777" w:rsidTr="0053329E">
        <w:trPr>
          <w:jc w:val="center"/>
        </w:trPr>
        <w:tc>
          <w:tcPr>
            <w:tcW w:w="189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E398A9F" w14:textId="36432E89" w:rsidR="00871276" w:rsidRPr="00E10A93" w:rsidRDefault="00871276" w:rsidP="00EF7F1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Brands available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87DCF1" w14:textId="3DFA297A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26.5%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733C199" w14:textId="41160164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31.1%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796DF54" w14:textId="04402B87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30.7%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DBF1FB3" w14:textId="2CD2977C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46.2%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2025DB3" w14:textId="260A47CA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b/>
                <w:sz w:val="20"/>
                <w:szCs w:val="20"/>
              </w:rPr>
            </w:pPr>
            <w:r w:rsidRPr="00E10A93">
              <w:rPr>
                <w:rFonts w:eastAsia="Times New Roman"/>
                <w:b/>
                <w:sz w:val="20"/>
                <w:szCs w:val="20"/>
              </w:rPr>
              <w:t>52.1%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FD1811C" w14:textId="7370DEC1" w:rsidR="00871276" w:rsidRPr="00E10A93" w:rsidRDefault="000B7D5C" w:rsidP="0053329E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jc w:val="right"/>
              <w:rPr>
                <w:rFonts w:eastAsia="Times New Roman"/>
                <w:sz w:val="20"/>
                <w:szCs w:val="20"/>
              </w:rPr>
            </w:pPr>
            <w:r w:rsidRPr="00E10A93">
              <w:rPr>
                <w:rFonts w:eastAsia="Times New Roman"/>
                <w:sz w:val="20"/>
                <w:szCs w:val="20"/>
              </w:rPr>
              <w:t>36.9%</w:t>
            </w:r>
          </w:p>
        </w:tc>
      </w:tr>
    </w:tbl>
    <w:p w14:paraId="493309C7" w14:textId="5402F041" w:rsidR="00EF7F15" w:rsidRPr="00E10A93" w:rsidRDefault="000B7D5C" w:rsidP="0053329E">
      <w:pPr>
        <w:spacing w:after="0" w:line="240" w:lineRule="auto"/>
        <w:ind w:left="-450" w:firstLine="180"/>
        <w:contextualSpacing/>
      </w:pPr>
      <w:r w:rsidRPr="00E10A93">
        <w:rPr>
          <w:sz w:val="16"/>
          <w:szCs w:val="16"/>
        </w:rPr>
        <w:t>Euromonitor International (Prosper Insights &amp; Analytics), November 2016</w:t>
      </w:r>
    </w:p>
    <w:p w14:paraId="460AF76D" w14:textId="57365267" w:rsidR="00EF7F15" w:rsidRPr="00E10A93" w:rsidRDefault="00E3115F" w:rsidP="00EF7F15">
      <w:pPr>
        <w:pStyle w:val="ListParagraph"/>
        <w:spacing w:after="0" w:line="240" w:lineRule="auto"/>
        <w:ind w:left="360"/>
        <w:rPr>
          <w:sz w:val="20"/>
          <w:szCs w:val="20"/>
        </w:rPr>
      </w:pPr>
      <w:r w:rsidRPr="00E10A93">
        <w:rPr>
          <w:sz w:val="20"/>
          <w:szCs w:val="20"/>
        </w:rPr>
        <w:t xml:space="preserve"> </w:t>
      </w:r>
    </w:p>
    <w:p w14:paraId="77BB3838" w14:textId="5BB21BF1" w:rsidR="00476E47" w:rsidRPr="00E10A93" w:rsidRDefault="00346B0B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  <w:r w:rsidRPr="00E10A93">
        <w:rPr>
          <w:b/>
          <w:color w:val="3366FF"/>
          <w:sz w:val="20"/>
          <w:szCs w:val="20"/>
        </w:rPr>
        <w:t>Hair Salons and Barber Shops Continue Growth</w:t>
      </w:r>
    </w:p>
    <w:p w14:paraId="6468BE58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215B1581" w14:textId="11CF1F99" w:rsidR="00476E47" w:rsidRPr="00E10A93" w:rsidRDefault="00476E47" w:rsidP="00476E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Professional Consultants &amp; Re</w:t>
      </w:r>
      <w:r w:rsidR="00597F09" w:rsidRPr="00E10A93">
        <w:rPr>
          <w:sz w:val="20"/>
          <w:szCs w:val="20"/>
        </w:rPr>
        <w:t>sources reported that total 2016</w:t>
      </w:r>
      <w:r w:rsidRPr="00E10A93">
        <w:rPr>
          <w:sz w:val="20"/>
          <w:szCs w:val="20"/>
        </w:rPr>
        <w:t xml:space="preserve"> US salon services and salon ret</w:t>
      </w:r>
      <w:r w:rsidR="00C1151B" w:rsidRPr="00E10A93">
        <w:rPr>
          <w:sz w:val="20"/>
          <w:szCs w:val="20"/>
        </w:rPr>
        <w:t>ail sales increased 3% to $62</w:t>
      </w:r>
      <w:r w:rsidRPr="00E10A93">
        <w:rPr>
          <w:sz w:val="20"/>
          <w:szCs w:val="20"/>
        </w:rPr>
        <w:t xml:space="preserve"> billion. </w:t>
      </w:r>
      <w:r w:rsidR="00C1151B" w:rsidRPr="00E10A93">
        <w:rPr>
          <w:sz w:val="20"/>
          <w:szCs w:val="20"/>
        </w:rPr>
        <w:t xml:space="preserve">Hair coloring is an anchor service, </w:t>
      </w:r>
      <w:r w:rsidR="0053329E" w:rsidRPr="00E10A93">
        <w:rPr>
          <w:sz w:val="20"/>
          <w:szCs w:val="20"/>
        </w:rPr>
        <w:t xml:space="preserve">attracting customers </w:t>
      </w:r>
      <w:r w:rsidR="00C1151B" w:rsidRPr="00E10A93">
        <w:rPr>
          <w:sz w:val="20"/>
          <w:szCs w:val="20"/>
        </w:rPr>
        <w:t>for other services.</w:t>
      </w:r>
      <w:r w:rsidR="00BF64BF" w:rsidRPr="00E10A93">
        <w:rPr>
          <w:sz w:val="20"/>
          <w:szCs w:val="20"/>
        </w:rPr>
        <w:t xml:space="preserve"> Highlights are in; bright colors are out.</w:t>
      </w:r>
    </w:p>
    <w:p w14:paraId="3E54C00B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54583917" w14:textId="522C8CAE" w:rsidR="00476E47" w:rsidRPr="00E10A93" w:rsidRDefault="00476E47" w:rsidP="00476E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The total number of US salon</w:t>
      </w:r>
      <w:r w:rsidR="0053329E" w:rsidRPr="00E10A93">
        <w:rPr>
          <w:sz w:val="20"/>
          <w:szCs w:val="20"/>
        </w:rPr>
        <w:t xml:space="preserve">s and barbershops declined </w:t>
      </w:r>
      <w:r w:rsidR="00C1151B" w:rsidRPr="00E10A93">
        <w:rPr>
          <w:sz w:val="20"/>
          <w:szCs w:val="20"/>
        </w:rPr>
        <w:t>8.7%</w:t>
      </w:r>
      <w:r w:rsidRPr="00E10A93">
        <w:rPr>
          <w:sz w:val="20"/>
          <w:szCs w:val="20"/>
        </w:rPr>
        <w:t xml:space="preserve"> to </w:t>
      </w:r>
      <w:r w:rsidR="00C1151B" w:rsidRPr="00E10A93">
        <w:rPr>
          <w:sz w:val="20"/>
          <w:szCs w:val="20"/>
        </w:rPr>
        <w:t>270,000 for 2016</w:t>
      </w:r>
      <w:r w:rsidRPr="00E10A93">
        <w:rPr>
          <w:sz w:val="20"/>
          <w:szCs w:val="20"/>
        </w:rPr>
        <w:t xml:space="preserve">, </w:t>
      </w:r>
      <w:r w:rsidR="00C1151B" w:rsidRPr="00E10A93">
        <w:rPr>
          <w:sz w:val="20"/>
          <w:szCs w:val="20"/>
        </w:rPr>
        <w:t xml:space="preserve">continuing a trend </w:t>
      </w:r>
      <w:r w:rsidRPr="00E10A93">
        <w:rPr>
          <w:sz w:val="20"/>
          <w:szCs w:val="20"/>
        </w:rPr>
        <w:t>of the larger rental suites</w:t>
      </w:r>
      <w:r w:rsidR="00C1151B" w:rsidRPr="00E10A93">
        <w:rPr>
          <w:sz w:val="20"/>
          <w:szCs w:val="20"/>
        </w:rPr>
        <w:t xml:space="preserve"> replacing tradi</w:t>
      </w:r>
      <w:r w:rsidR="0053329E" w:rsidRPr="00E10A93">
        <w:rPr>
          <w:sz w:val="20"/>
          <w:szCs w:val="20"/>
        </w:rPr>
        <w:t>tional commission-</w:t>
      </w:r>
      <w:r w:rsidR="00C1151B" w:rsidRPr="00E10A93">
        <w:rPr>
          <w:sz w:val="20"/>
          <w:szCs w:val="20"/>
        </w:rPr>
        <w:t>based salons</w:t>
      </w:r>
      <w:r w:rsidRPr="00E10A93">
        <w:rPr>
          <w:sz w:val="20"/>
          <w:szCs w:val="20"/>
        </w:rPr>
        <w:t>.</w:t>
      </w:r>
      <w:r w:rsidR="00C1151B" w:rsidRPr="00E10A93">
        <w:rPr>
          <w:sz w:val="20"/>
          <w:szCs w:val="20"/>
        </w:rPr>
        <w:t xml:space="preserve"> There is </w:t>
      </w:r>
      <w:r w:rsidR="005E38A5">
        <w:rPr>
          <w:sz w:val="20"/>
          <w:szCs w:val="20"/>
        </w:rPr>
        <w:t xml:space="preserve">also </w:t>
      </w:r>
      <w:r w:rsidR="00C1151B" w:rsidRPr="00E10A93">
        <w:rPr>
          <w:sz w:val="20"/>
          <w:szCs w:val="20"/>
        </w:rPr>
        <w:t>a shift toward large family-economy chains.</w:t>
      </w:r>
    </w:p>
    <w:p w14:paraId="5793120D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40286FBD" w14:textId="455437CE" w:rsidR="00476E47" w:rsidRPr="00E10A93" w:rsidRDefault="00C1151B" w:rsidP="00476E47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Coloring</w:t>
      </w:r>
      <w:r w:rsidR="00476E47" w:rsidRPr="00E10A93">
        <w:rPr>
          <w:sz w:val="20"/>
          <w:szCs w:val="20"/>
        </w:rPr>
        <w:t xml:space="preserve"> revenues increased </w:t>
      </w:r>
      <w:r w:rsidRPr="00E10A93">
        <w:rPr>
          <w:sz w:val="20"/>
          <w:szCs w:val="20"/>
        </w:rPr>
        <w:t>3.6</w:t>
      </w:r>
      <w:r w:rsidR="00476E47" w:rsidRPr="00E10A93">
        <w:rPr>
          <w:sz w:val="20"/>
          <w:szCs w:val="20"/>
        </w:rPr>
        <w:t>%</w:t>
      </w:r>
      <w:r w:rsidRPr="00E10A93">
        <w:rPr>
          <w:sz w:val="20"/>
          <w:szCs w:val="20"/>
        </w:rPr>
        <w:t xml:space="preserve"> from Baby Boomers and a huge demand for fashion hair color.</w:t>
      </w:r>
      <w:r w:rsidR="00476E47" w:rsidRPr="00E10A93">
        <w:rPr>
          <w:sz w:val="20"/>
          <w:szCs w:val="20"/>
        </w:rPr>
        <w:t xml:space="preserve"> </w:t>
      </w:r>
      <w:r w:rsidRPr="00E10A93">
        <w:rPr>
          <w:sz w:val="20"/>
          <w:szCs w:val="20"/>
        </w:rPr>
        <w:t xml:space="preserve">Revenues for </w:t>
      </w:r>
      <w:r w:rsidR="00476E47" w:rsidRPr="00E10A93">
        <w:rPr>
          <w:sz w:val="20"/>
          <w:szCs w:val="20"/>
        </w:rPr>
        <w:t>keratin straightening</w:t>
      </w:r>
      <w:r w:rsidR="005E38A5">
        <w:rPr>
          <w:sz w:val="20"/>
          <w:szCs w:val="20"/>
        </w:rPr>
        <w:t xml:space="preserve"> and perms increased 2%</w:t>
      </w:r>
      <w:r w:rsidRPr="00E10A93">
        <w:rPr>
          <w:sz w:val="20"/>
          <w:szCs w:val="20"/>
        </w:rPr>
        <w:t xml:space="preserve"> and cutting and styling increased 2.8</w:t>
      </w:r>
      <w:r w:rsidR="00476E47" w:rsidRPr="00E10A93">
        <w:rPr>
          <w:sz w:val="20"/>
          <w:szCs w:val="20"/>
        </w:rPr>
        <w:t xml:space="preserve">%. </w:t>
      </w:r>
      <w:r w:rsidR="002A4392" w:rsidRPr="00E10A93">
        <w:rPr>
          <w:sz w:val="20"/>
          <w:szCs w:val="20"/>
        </w:rPr>
        <w:t>Revenue from men’s services, including hair color, increased.</w:t>
      </w:r>
    </w:p>
    <w:p w14:paraId="6A537887" w14:textId="77777777" w:rsidR="00476E47" w:rsidRPr="00E10A93" w:rsidRDefault="00476E47" w:rsidP="00476E47">
      <w:pPr>
        <w:spacing w:after="0" w:line="240" w:lineRule="auto"/>
        <w:contextualSpacing/>
      </w:pPr>
    </w:p>
    <w:p w14:paraId="42D44DA9" w14:textId="7BB29F95" w:rsidR="008B577E" w:rsidRPr="00E10A93" w:rsidRDefault="008B577E" w:rsidP="008B577E">
      <w:pPr>
        <w:pStyle w:val="Header"/>
        <w:jc w:val="center"/>
        <w:rPr>
          <w:rFonts w:ascii="Verdana" w:hAnsi="Verdana"/>
          <w:b/>
          <w:sz w:val="20"/>
          <w:szCs w:val="20"/>
        </w:rPr>
      </w:pPr>
      <w:r w:rsidRPr="00E10A93">
        <w:rPr>
          <w:rFonts w:ascii="Verdana" w:hAnsi="Verdana"/>
          <w:b/>
          <w:i/>
          <w:sz w:val="20"/>
          <w:szCs w:val="20"/>
        </w:rPr>
        <w:t>Salon Today</w:t>
      </w:r>
      <w:r w:rsidRPr="00E10A93">
        <w:rPr>
          <w:rFonts w:ascii="Verdana" w:hAnsi="Verdana"/>
          <w:b/>
          <w:sz w:val="20"/>
          <w:szCs w:val="20"/>
        </w:rPr>
        <w:t xml:space="preserve"> Top 200 </w:t>
      </w:r>
      <w:r w:rsidR="001767E5" w:rsidRPr="00E10A93">
        <w:rPr>
          <w:rFonts w:ascii="Verdana" w:hAnsi="Verdana"/>
          <w:b/>
          <w:sz w:val="20"/>
          <w:szCs w:val="20"/>
        </w:rPr>
        <w:t>Metrics</w:t>
      </w:r>
      <w:r w:rsidRPr="00E10A93">
        <w:rPr>
          <w:rFonts w:ascii="Verdana" w:hAnsi="Verdana"/>
          <w:b/>
          <w:sz w:val="20"/>
          <w:szCs w:val="20"/>
        </w:rPr>
        <w:t>, 201</w:t>
      </w:r>
      <w:r w:rsidR="001767E5" w:rsidRPr="00E10A93">
        <w:rPr>
          <w:rFonts w:ascii="Verdana" w:hAnsi="Verdana"/>
          <w:b/>
          <w:sz w:val="20"/>
          <w:szCs w:val="20"/>
        </w:rPr>
        <w:t>7</w:t>
      </w:r>
    </w:p>
    <w:tbl>
      <w:tblPr>
        <w:tblW w:w="579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111"/>
      </w:tblGrid>
      <w:tr w:rsidR="008B577E" w:rsidRPr="00E10A93" w14:paraId="3611033B" w14:textId="77777777" w:rsidTr="008B577E">
        <w:trPr>
          <w:trHeight w:val="285"/>
          <w:jc w:val="center"/>
        </w:trPr>
        <w:tc>
          <w:tcPr>
            <w:tcW w:w="468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65B422A3" w14:textId="2052955A" w:rsidR="008B577E" w:rsidRPr="00E10A93" w:rsidRDefault="001767E5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Metric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4AA1A3AD" w14:textId="5E7A0985" w:rsidR="008B577E" w:rsidRPr="00E10A93" w:rsidRDefault="001767E5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Amount</w:t>
            </w:r>
          </w:p>
        </w:tc>
      </w:tr>
      <w:tr w:rsidR="008B577E" w:rsidRPr="00E10A93" w14:paraId="76D2DF0A" w14:textId="77777777" w:rsidTr="008B577E">
        <w:tblPrEx>
          <w:tblBorders>
            <w:top w:val="none" w:sz="0" w:space="0" w:color="auto"/>
          </w:tblBorders>
        </w:tblPrEx>
        <w:trPr>
          <w:trHeight w:val="69"/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5B5D10A" w14:textId="23EEAE94" w:rsidR="008B577E" w:rsidRPr="00E10A93" w:rsidRDefault="001767E5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Average annual sales/square foot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2147F8" w14:textId="16AC3032" w:rsidR="008B577E" w:rsidRPr="00E10A93" w:rsidRDefault="001767E5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$451</w:t>
            </w:r>
          </w:p>
        </w:tc>
      </w:tr>
      <w:tr w:rsidR="008B577E" w:rsidRPr="00E10A93" w14:paraId="3E9A0D84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12C37CD8" w14:textId="14107356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Number of client transactions processed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09927D5" w14:textId="56256031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21,263</w:t>
            </w:r>
          </w:p>
        </w:tc>
      </w:tr>
      <w:tr w:rsidR="008B577E" w:rsidRPr="00E10A93" w14:paraId="571DFFC1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705539A" w14:textId="72E8093F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Business growth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64FBD5" w14:textId="4AB7A0BC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15%</w:t>
            </w:r>
          </w:p>
        </w:tc>
      </w:tr>
      <w:tr w:rsidR="008B577E" w:rsidRPr="00E10A93" w14:paraId="569EFFEB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4E9861A" w14:textId="2B924C0C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Average sale per client visit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DCA5800" w14:textId="2B4C5CD6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$82.76</w:t>
            </w:r>
          </w:p>
        </w:tc>
      </w:tr>
      <w:tr w:rsidR="008B577E" w:rsidRPr="00E10A93" w14:paraId="6C4DCD48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CCCC765" w14:textId="02ECDADA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Amount charged for shampoo, cut and style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0A2C2E" w14:textId="53949880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$53.33</w:t>
            </w:r>
          </w:p>
        </w:tc>
      </w:tr>
      <w:tr w:rsidR="008B577E" w:rsidRPr="00E10A93" w14:paraId="442D5B1F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FC9248F" w14:textId="06AB4AA6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Amount charged for single-process color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8C873F" w14:textId="745B7075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$74.53</w:t>
            </w:r>
          </w:p>
        </w:tc>
      </w:tr>
      <w:tr w:rsidR="008B577E" w:rsidRPr="00E10A93" w14:paraId="63CDC6D5" w14:textId="77777777" w:rsidTr="008B577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6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14:paraId="1B0D88EF" w14:textId="72F63482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Number of employees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4AF60A" w14:textId="6A4950BE" w:rsidR="008B577E" w:rsidRPr="00E10A93" w:rsidRDefault="00C02EF4" w:rsidP="008B577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34</w:t>
            </w:r>
          </w:p>
        </w:tc>
      </w:tr>
    </w:tbl>
    <w:p w14:paraId="79AC0866" w14:textId="3C3C54D5" w:rsidR="00476E47" w:rsidRPr="00E10A93" w:rsidRDefault="008B577E" w:rsidP="00C02EF4">
      <w:pPr>
        <w:tabs>
          <w:tab w:val="left" w:pos="1800"/>
        </w:tabs>
        <w:spacing w:after="0" w:line="240" w:lineRule="auto"/>
        <w:ind w:left="-360"/>
        <w:rPr>
          <w:rFonts w:ascii="Verdana" w:hAnsi="Verdana"/>
          <w:sz w:val="20"/>
          <w:szCs w:val="20"/>
        </w:rPr>
      </w:pPr>
      <w:r w:rsidRPr="00E10A93">
        <w:rPr>
          <w:rFonts w:ascii="Verdana" w:hAnsi="Verdana"/>
          <w:sz w:val="16"/>
          <w:szCs w:val="16"/>
        </w:rPr>
        <w:tab/>
      </w:r>
      <w:r w:rsidR="00C02EF4" w:rsidRPr="00E10A93">
        <w:rPr>
          <w:rFonts w:ascii="Verdana" w:hAnsi="Verdana"/>
          <w:i/>
          <w:sz w:val="16"/>
          <w:szCs w:val="16"/>
        </w:rPr>
        <w:t>Modern Salon</w:t>
      </w:r>
      <w:r w:rsidR="00C02EF4" w:rsidRPr="00E10A93">
        <w:rPr>
          <w:rFonts w:ascii="Verdana" w:hAnsi="Verdana"/>
          <w:sz w:val="16"/>
          <w:szCs w:val="16"/>
        </w:rPr>
        <w:t xml:space="preserve">, </w:t>
      </w:r>
      <w:r w:rsidRPr="00E10A93">
        <w:rPr>
          <w:rFonts w:ascii="Verdana" w:hAnsi="Verdana"/>
          <w:sz w:val="16"/>
          <w:szCs w:val="16"/>
        </w:rPr>
        <w:t>February</w:t>
      </w:r>
      <w:r w:rsidR="001767E5" w:rsidRPr="00E10A93">
        <w:rPr>
          <w:rFonts w:ascii="Verdana" w:hAnsi="Verdana"/>
          <w:sz w:val="16"/>
          <w:szCs w:val="16"/>
        </w:rPr>
        <w:t xml:space="preserve"> 2018</w:t>
      </w:r>
      <w:r w:rsidRPr="00E10A93">
        <w:rPr>
          <w:rFonts w:ascii="Verdana" w:hAnsi="Verdana"/>
          <w:sz w:val="16"/>
          <w:szCs w:val="16"/>
        </w:rPr>
        <w:t xml:space="preserve"> issu</w:t>
      </w:r>
      <w:r w:rsidR="00C02EF4" w:rsidRPr="00E10A93">
        <w:rPr>
          <w:rFonts w:ascii="Verdana" w:hAnsi="Verdana"/>
          <w:sz w:val="16"/>
          <w:szCs w:val="16"/>
        </w:rPr>
        <w:t>e</w:t>
      </w:r>
    </w:p>
    <w:p w14:paraId="3B9406FB" w14:textId="77777777" w:rsidR="00EB65A5" w:rsidRPr="00E10A93" w:rsidRDefault="00EB65A5" w:rsidP="00476E47">
      <w:pPr>
        <w:spacing w:after="0" w:line="240" w:lineRule="auto"/>
        <w:contextualSpacing/>
        <w:jc w:val="center"/>
        <w:rPr>
          <w:b/>
          <w:color w:val="3366FF"/>
        </w:rPr>
      </w:pPr>
    </w:p>
    <w:p w14:paraId="57CB1AA1" w14:textId="4396632E" w:rsidR="00476E47" w:rsidRPr="00E10A93" w:rsidRDefault="00476E47" w:rsidP="00476E47">
      <w:pPr>
        <w:spacing w:after="0" w:line="240" w:lineRule="auto"/>
        <w:contextualSpacing/>
        <w:jc w:val="center"/>
        <w:rPr>
          <w:b/>
          <w:color w:val="3366FF"/>
        </w:rPr>
      </w:pPr>
      <w:r w:rsidRPr="00E10A93">
        <w:rPr>
          <w:b/>
          <w:color w:val="3366FF"/>
        </w:rPr>
        <w:lastRenderedPageBreak/>
        <w:t xml:space="preserve">Nail </w:t>
      </w:r>
      <w:r w:rsidR="005B3215">
        <w:rPr>
          <w:b/>
          <w:color w:val="3366FF"/>
        </w:rPr>
        <w:t>Salon Revenues Less Glossy</w:t>
      </w:r>
    </w:p>
    <w:p w14:paraId="25C969C8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3AEBE896" w14:textId="31D34CBF" w:rsidR="00476E47" w:rsidRPr="00E10A93" w:rsidRDefault="005E38A5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>
        <w:rPr>
          <w:i/>
          <w:sz w:val="20"/>
          <w:szCs w:val="20"/>
        </w:rPr>
        <w:t>Nail’</w:t>
      </w:r>
      <w:r w:rsidR="00476E47" w:rsidRPr="00E10A93">
        <w:rPr>
          <w:i/>
          <w:sz w:val="20"/>
          <w:szCs w:val="20"/>
        </w:rPr>
        <w:t>s</w:t>
      </w:r>
      <w:r w:rsidR="00476E47" w:rsidRPr="00E10A93">
        <w:rPr>
          <w:sz w:val="20"/>
          <w:szCs w:val="20"/>
        </w:rPr>
        <w:t xml:space="preserve"> 201</w:t>
      </w:r>
      <w:r w:rsidR="00995D29" w:rsidRPr="00E10A93">
        <w:rPr>
          <w:sz w:val="20"/>
          <w:szCs w:val="20"/>
        </w:rPr>
        <w:t>7</w:t>
      </w:r>
      <w:r w:rsidR="00476E47" w:rsidRPr="00E10A93">
        <w:rPr>
          <w:rFonts w:ascii="Verdana" w:hAnsi="Verdana"/>
          <w:sz w:val="20"/>
          <w:szCs w:val="20"/>
        </w:rPr>
        <w:t>–</w:t>
      </w:r>
      <w:r w:rsidR="00995D29" w:rsidRPr="00E10A93">
        <w:rPr>
          <w:sz w:val="20"/>
          <w:szCs w:val="20"/>
        </w:rPr>
        <w:t>2018</w:t>
      </w:r>
      <w:r w:rsidR="00476E47" w:rsidRPr="00E10A93">
        <w:rPr>
          <w:sz w:val="20"/>
          <w:szCs w:val="20"/>
        </w:rPr>
        <w:t xml:space="preserve"> Bi</w:t>
      </w:r>
      <w:r w:rsidR="00995D29" w:rsidRPr="00E10A93">
        <w:rPr>
          <w:sz w:val="20"/>
          <w:szCs w:val="20"/>
        </w:rPr>
        <w:t>g Book reported a total of $8.53</w:t>
      </w:r>
      <w:r w:rsidR="00476E47" w:rsidRPr="00E10A93">
        <w:rPr>
          <w:sz w:val="20"/>
          <w:szCs w:val="20"/>
        </w:rPr>
        <w:t xml:space="preserve"> billion was sp</w:t>
      </w:r>
      <w:r w:rsidR="00995D29" w:rsidRPr="00E10A93">
        <w:rPr>
          <w:sz w:val="20"/>
          <w:szCs w:val="20"/>
        </w:rPr>
        <w:t>ent on nail services during 2017</w:t>
      </w:r>
      <w:r w:rsidR="00476E47" w:rsidRPr="00E10A93">
        <w:rPr>
          <w:sz w:val="20"/>
          <w:szCs w:val="20"/>
        </w:rPr>
        <w:t xml:space="preserve">, </w:t>
      </w:r>
      <w:r w:rsidR="00995D29" w:rsidRPr="00E10A93">
        <w:rPr>
          <w:sz w:val="20"/>
          <w:szCs w:val="20"/>
        </w:rPr>
        <w:t xml:space="preserve">the same </w:t>
      </w:r>
      <w:r w:rsidR="00070CAC" w:rsidRPr="00E10A93">
        <w:rPr>
          <w:sz w:val="20"/>
          <w:szCs w:val="20"/>
        </w:rPr>
        <w:t xml:space="preserve">amount </w:t>
      </w:r>
      <w:r w:rsidR="0053329E" w:rsidRPr="00E10A93">
        <w:rPr>
          <w:sz w:val="20"/>
          <w:szCs w:val="20"/>
        </w:rPr>
        <w:t xml:space="preserve">as </w:t>
      </w:r>
      <w:r w:rsidR="00995D29" w:rsidRPr="00E10A93">
        <w:rPr>
          <w:sz w:val="20"/>
          <w:szCs w:val="20"/>
        </w:rPr>
        <w:t>2016</w:t>
      </w:r>
      <w:r w:rsidR="00476E47" w:rsidRPr="00E10A93">
        <w:rPr>
          <w:sz w:val="20"/>
          <w:szCs w:val="20"/>
        </w:rPr>
        <w:t>.</w:t>
      </w:r>
    </w:p>
    <w:p w14:paraId="07468E8C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38D75259" w14:textId="7591A05C" w:rsidR="00476E47" w:rsidRPr="00E10A93" w:rsidRDefault="00070CAC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During 2017, th</w:t>
      </w:r>
      <w:r w:rsidR="00476E47" w:rsidRPr="00E10A93">
        <w:rPr>
          <w:sz w:val="20"/>
          <w:szCs w:val="20"/>
        </w:rPr>
        <w:t xml:space="preserve">ere </w:t>
      </w:r>
      <w:r w:rsidRPr="00E10A93">
        <w:rPr>
          <w:sz w:val="20"/>
          <w:szCs w:val="20"/>
        </w:rPr>
        <w:t>were</w:t>
      </w:r>
      <w:r w:rsidR="00476E47" w:rsidRPr="00E10A93">
        <w:rPr>
          <w:sz w:val="20"/>
          <w:szCs w:val="20"/>
        </w:rPr>
        <w:t xml:space="preserve"> </w:t>
      </w:r>
      <w:r w:rsidRPr="00E10A93">
        <w:rPr>
          <w:sz w:val="20"/>
          <w:szCs w:val="20"/>
        </w:rPr>
        <w:t>439,751 nail techs</w:t>
      </w:r>
      <w:r w:rsidR="00476E47" w:rsidRPr="00E10A93">
        <w:rPr>
          <w:sz w:val="20"/>
          <w:szCs w:val="20"/>
        </w:rPr>
        <w:t xml:space="preserve"> in the US, a</w:t>
      </w:r>
      <w:r w:rsidRPr="00E10A93">
        <w:rPr>
          <w:sz w:val="20"/>
          <w:szCs w:val="20"/>
        </w:rPr>
        <w:t>n</w:t>
      </w:r>
      <w:r w:rsidR="00476E47" w:rsidRPr="00E10A93">
        <w:rPr>
          <w:sz w:val="20"/>
          <w:szCs w:val="20"/>
        </w:rPr>
        <w:t xml:space="preserve"> </w:t>
      </w:r>
      <w:r w:rsidRPr="00E10A93">
        <w:rPr>
          <w:sz w:val="20"/>
          <w:szCs w:val="20"/>
        </w:rPr>
        <w:t>11.7</w:t>
      </w:r>
      <w:r w:rsidR="00476E47" w:rsidRPr="00E10A93">
        <w:rPr>
          <w:sz w:val="20"/>
          <w:szCs w:val="20"/>
        </w:rPr>
        <w:t xml:space="preserve">% </w:t>
      </w:r>
      <w:r w:rsidRPr="00E10A93">
        <w:rPr>
          <w:sz w:val="20"/>
          <w:szCs w:val="20"/>
        </w:rPr>
        <w:t>increase from 2016</w:t>
      </w:r>
      <w:r w:rsidR="0053329E" w:rsidRPr="00E10A93">
        <w:rPr>
          <w:sz w:val="20"/>
          <w:szCs w:val="20"/>
        </w:rPr>
        <w:t>. There was</w:t>
      </w:r>
      <w:r w:rsidR="00476E47" w:rsidRPr="00E10A93">
        <w:rPr>
          <w:sz w:val="20"/>
          <w:szCs w:val="20"/>
        </w:rPr>
        <w:t xml:space="preserve"> a total of </w:t>
      </w:r>
      <w:r w:rsidRPr="00E10A93">
        <w:rPr>
          <w:sz w:val="20"/>
          <w:szCs w:val="20"/>
        </w:rPr>
        <w:t>56,386</w:t>
      </w:r>
      <w:r w:rsidR="0053329E" w:rsidRPr="00E10A93">
        <w:rPr>
          <w:sz w:val="20"/>
          <w:szCs w:val="20"/>
        </w:rPr>
        <w:t xml:space="preserve"> nail salons</w:t>
      </w:r>
      <w:r w:rsidR="00476E47" w:rsidRPr="00E10A93">
        <w:rPr>
          <w:sz w:val="20"/>
          <w:szCs w:val="20"/>
        </w:rPr>
        <w:t xml:space="preserve">, </w:t>
      </w:r>
      <w:r w:rsidRPr="00E10A93">
        <w:rPr>
          <w:sz w:val="20"/>
          <w:szCs w:val="20"/>
        </w:rPr>
        <w:t>a decrease of 19.1%</w:t>
      </w:r>
      <w:r w:rsidR="00476E47" w:rsidRPr="00E10A93">
        <w:rPr>
          <w:sz w:val="20"/>
          <w:szCs w:val="20"/>
        </w:rPr>
        <w:t xml:space="preserve"> fr</w:t>
      </w:r>
      <w:r w:rsidRPr="00E10A93">
        <w:rPr>
          <w:sz w:val="20"/>
          <w:szCs w:val="20"/>
        </w:rPr>
        <w:t>om 2016</w:t>
      </w:r>
      <w:r w:rsidR="00476E47" w:rsidRPr="00E10A93">
        <w:rPr>
          <w:sz w:val="20"/>
          <w:szCs w:val="20"/>
        </w:rPr>
        <w:t xml:space="preserve">. </w:t>
      </w:r>
    </w:p>
    <w:p w14:paraId="377EF0BB" w14:textId="77777777" w:rsidR="00476E47" w:rsidRPr="00E10A93" w:rsidRDefault="00476E47" w:rsidP="00476E47">
      <w:pPr>
        <w:spacing w:after="0" w:line="240" w:lineRule="auto"/>
        <w:rPr>
          <w:sz w:val="20"/>
          <w:szCs w:val="20"/>
        </w:rPr>
      </w:pPr>
    </w:p>
    <w:p w14:paraId="1BE60BF4" w14:textId="7ED048EC" w:rsidR="00476E47" w:rsidRPr="00E10A93" w:rsidRDefault="003E67DF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Almos</w:t>
      </w:r>
      <w:r w:rsidR="005E38A5">
        <w:rPr>
          <w:sz w:val="20"/>
          <w:szCs w:val="20"/>
        </w:rPr>
        <w:t>t 30% increas</w:t>
      </w:r>
      <w:r w:rsidR="0053329E" w:rsidRPr="00E10A93">
        <w:rPr>
          <w:sz w:val="20"/>
          <w:szCs w:val="20"/>
        </w:rPr>
        <w:t>ed their prices during</w:t>
      </w:r>
      <w:r w:rsidRPr="00E10A93">
        <w:rPr>
          <w:sz w:val="20"/>
          <w:szCs w:val="20"/>
        </w:rPr>
        <w:t xml:space="preserve"> the past ye</w:t>
      </w:r>
      <w:r w:rsidR="0053329E" w:rsidRPr="00E10A93">
        <w:rPr>
          <w:sz w:val="20"/>
          <w:szCs w:val="20"/>
        </w:rPr>
        <w:t>ar, and an additional 23.4% increased them 1</w:t>
      </w:r>
      <w:r w:rsidR="0053329E" w:rsidRPr="00E10A93">
        <w:rPr>
          <w:rFonts w:ascii="Verdana" w:hAnsi="Verdana"/>
          <w:sz w:val="20"/>
          <w:szCs w:val="20"/>
        </w:rPr>
        <w:t>–</w:t>
      </w:r>
      <w:r w:rsidRPr="00E10A93">
        <w:rPr>
          <w:sz w:val="20"/>
          <w:szCs w:val="20"/>
        </w:rPr>
        <w:t xml:space="preserve">2 years ago. </w:t>
      </w:r>
    </w:p>
    <w:p w14:paraId="63655732" w14:textId="77777777" w:rsidR="00476E47" w:rsidRPr="00E10A93" w:rsidRDefault="00476E47" w:rsidP="00476E47">
      <w:pPr>
        <w:spacing w:after="0" w:line="240" w:lineRule="auto"/>
        <w:rPr>
          <w:sz w:val="20"/>
          <w:szCs w:val="20"/>
        </w:rPr>
      </w:pPr>
    </w:p>
    <w:p w14:paraId="41CF04E9" w14:textId="1F097D3E" w:rsidR="00476E47" w:rsidRPr="00E10A93" w:rsidRDefault="0053329E" w:rsidP="00476E47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 xml:space="preserve">Nail-Salon </w:t>
      </w:r>
      <w:r w:rsidR="003E67DF" w:rsidRPr="00E10A93">
        <w:rPr>
          <w:b/>
          <w:sz w:val="20"/>
          <w:szCs w:val="20"/>
        </w:rPr>
        <w:t>Customer Demographics</w:t>
      </w:r>
      <w:r w:rsidR="003E67DF" w:rsidRPr="00E10A93">
        <w:rPr>
          <w:rFonts w:ascii="Verdana" w:hAnsi="Verdana"/>
          <w:b/>
          <w:sz w:val="20"/>
          <w:szCs w:val="20"/>
        </w:rPr>
        <w:t xml:space="preserve">, </w:t>
      </w:r>
      <w:r w:rsidR="003E67DF" w:rsidRPr="00E10A93">
        <w:rPr>
          <w:b/>
          <w:sz w:val="20"/>
          <w:szCs w:val="20"/>
        </w:rPr>
        <w:t>2017</w:t>
      </w:r>
    </w:p>
    <w:tbl>
      <w:tblPr>
        <w:tblW w:w="8441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07"/>
        <w:gridCol w:w="1508"/>
        <w:gridCol w:w="1507"/>
        <w:gridCol w:w="1508"/>
      </w:tblGrid>
      <w:tr w:rsidR="003E67DF" w:rsidRPr="00E10A93" w14:paraId="3722A315" w14:textId="77777777" w:rsidTr="0053329E">
        <w:trPr>
          <w:trHeight w:val="285"/>
          <w:jc w:val="center"/>
        </w:trPr>
        <w:tc>
          <w:tcPr>
            <w:tcW w:w="2411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DFC4020" w14:textId="63131F8E" w:rsidR="003E67DF" w:rsidRPr="00E10A93" w:rsidRDefault="003E67DF" w:rsidP="0053329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Demographic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10F02C9B" w14:textId="4817687D" w:rsidR="003E67DF" w:rsidRPr="00E10A93" w:rsidRDefault="0053329E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Current C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lients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551F4BEF" w14:textId="22168663" w:rsidR="003E67DF" w:rsidRPr="00E10A93" w:rsidRDefault="0053329E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Increase in S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egment</w:t>
            </w:r>
          </w:p>
        </w:tc>
        <w:tc>
          <w:tcPr>
            <w:tcW w:w="1507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57059241" w14:textId="60245FCE" w:rsidR="003E67DF" w:rsidRPr="00E10A93" w:rsidRDefault="0053329E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Decrease in S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egment</w:t>
            </w:r>
          </w:p>
        </w:tc>
        <w:tc>
          <w:tcPr>
            <w:tcW w:w="1508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1134F188" w14:textId="453F9A31" w:rsidR="003E67DF" w:rsidRPr="00E10A93" w:rsidRDefault="0053329E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No Change in S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egment</w:t>
            </w:r>
          </w:p>
        </w:tc>
      </w:tr>
      <w:tr w:rsidR="003E67DF" w:rsidRPr="00E10A93" w14:paraId="325DF842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46D72AB4" w14:textId="415C84F1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Girls younger than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 xml:space="preserve"> 12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E4DC28" w14:textId="1678CF40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1.1%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B963E32" w14:textId="5BF92CE7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AC9F21B" w14:textId="2DFF376A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8E1F92" w14:textId="56572F40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93%</w:t>
            </w:r>
          </w:p>
        </w:tc>
      </w:tr>
      <w:tr w:rsidR="003E67DF" w:rsidRPr="00E10A93" w14:paraId="157279CA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5A09DC1C" w14:textId="06D91E30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Girls 12</w:t>
            </w:r>
            <w:r w:rsidRPr="00E10A93">
              <w:rPr>
                <w:rFonts w:ascii="Verdana" w:hAnsi="Verdana"/>
                <w:sz w:val="20"/>
                <w:szCs w:val="20"/>
              </w:rPr>
              <w:t>–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9312A64" w14:textId="33B396D4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2.6%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C54C883" w14:textId="013C7CAD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11%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0DBE0D7" w14:textId="6CA345D6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4DF9BC" w14:textId="69BC7B8C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86%</w:t>
            </w:r>
          </w:p>
        </w:tc>
      </w:tr>
      <w:tr w:rsidR="003E67DF" w:rsidRPr="00E10A93" w14:paraId="181857A3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3B701B6" w14:textId="2CA34C48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Girls 16–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17EEC5" w14:textId="0BAE0EEC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6.6%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49ED912" w14:textId="0887BBC3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9840054" w14:textId="4EBB1575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C9A052" w14:textId="7EDC86C4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76%</w:t>
            </w:r>
          </w:p>
        </w:tc>
      </w:tr>
      <w:tr w:rsidR="003E67DF" w:rsidRPr="00E10A93" w14:paraId="06009ED9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236CBC6" w14:textId="01A6818F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Women 21</w:t>
            </w:r>
            <w:r w:rsidRPr="00E10A93">
              <w:rPr>
                <w:rFonts w:ascii="Verdana" w:hAnsi="Verdana"/>
                <w:sz w:val="20"/>
                <w:szCs w:val="20"/>
              </w:rPr>
              <w:t>–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25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345208" w14:textId="2F7F2749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10.4%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13BD459" w14:textId="5A3AE32F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28%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F4E3332" w14:textId="0B6391FF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60EEF57" w14:textId="6D2B1665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67%</w:t>
            </w:r>
          </w:p>
        </w:tc>
      </w:tr>
      <w:tr w:rsidR="003E67DF" w:rsidRPr="00E10A93" w14:paraId="04D308BA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60DA8DD2" w14:textId="65192E9F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Women 26</w:t>
            </w:r>
            <w:r w:rsidRPr="00E10A93">
              <w:rPr>
                <w:rFonts w:ascii="Verdana" w:hAnsi="Verdana"/>
                <w:sz w:val="20"/>
                <w:szCs w:val="20"/>
              </w:rPr>
              <w:t>–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B7FAAD3" w14:textId="3C12F429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19.4%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C92BF5" w14:textId="202A6206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36%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FA81E88" w14:textId="129E1270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A84104" w14:textId="29071103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61%</w:t>
            </w:r>
          </w:p>
        </w:tc>
      </w:tr>
      <w:tr w:rsidR="003E67DF" w:rsidRPr="00E10A93" w14:paraId="1250227C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358C426B" w14:textId="4C48C710" w:rsidR="003E67DF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Women 36</w:t>
            </w:r>
            <w:r w:rsidRPr="00E10A93">
              <w:rPr>
                <w:rFonts w:ascii="Verdana" w:hAnsi="Verdana"/>
                <w:sz w:val="20"/>
                <w:szCs w:val="20"/>
              </w:rPr>
              <w:t>–</w:t>
            </w:r>
            <w:r w:rsidR="003E67DF" w:rsidRPr="00E10A93">
              <w:rPr>
                <w:rFonts w:ascii="Verdana" w:eastAsia="Times New Roman" w:hAnsi="Verdana"/>
                <w:sz w:val="20"/>
                <w:szCs w:val="20"/>
              </w:rPr>
              <w:t>45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60DCD404" w14:textId="3E2D9E2A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21.3%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2BE92CB" w14:textId="14FF372E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4123A75" w14:textId="5535FFDE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A5963A2" w14:textId="0F245E5C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56%</w:t>
            </w:r>
          </w:p>
        </w:tc>
      </w:tr>
      <w:tr w:rsidR="003E67DF" w:rsidRPr="00E10A93" w14:paraId="5A53CFD0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78E6C6C7" w14:textId="01DF641B" w:rsidR="003E67DF" w:rsidRPr="00E10A93" w:rsidRDefault="003E67DF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Women 46+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EDF9BBE" w14:textId="77197FDB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33.2%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67D5CB7" w14:textId="1DF49FA1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40%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9B76C5" w14:textId="2C1EB560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64B3D5" w14:textId="0144A0BB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55%</w:t>
            </w:r>
          </w:p>
        </w:tc>
      </w:tr>
      <w:tr w:rsidR="003E67DF" w:rsidRPr="00E10A93" w14:paraId="21D3026E" w14:textId="77777777" w:rsidTr="0053329E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411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  <w:vAlign w:val="center"/>
          </w:tcPr>
          <w:p w14:paraId="5C584BCE" w14:textId="72101741" w:rsidR="003E67DF" w:rsidRPr="00E10A93" w:rsidRDefault="003E67DF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Men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93E40D" w14:textId="284AE328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5.4%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7813EA0" w14:textId="4C9C94A4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31%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19E7773" w14:textId="5656ADD2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6%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611798" w14:textId="40D6C6FA" w:rsidR="003E67DF" w:rsidRPr="00E10A93" w:rsidRDefault="003E67DF" w:rsidP="0053329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64%</w:t>
            </w:r>
          </w:p>
        </w:tc>
      </w:tr>
    </w:tbl>
    <w:p w14:paraId="3710F221" w14:textId="28B596A8" w:rsidR="00476E47" w:rsidRPr="00E10A93" w:rsidRDefault="00476E47" w:rsidP="0053329E">
      <w:pPr>
        <w:tabs>
          <w:tab w:val="left" w:pos="450"/>
        </w:tabs>
        <w:spacing w:after="0" w:line="240" w:lineRule="auto"/>
      </w:pPr>
      <w:r w:rsidRPr="00E10A93">
        <w:rPr>
          <w:rFonts w:ascii="Verdana" w:hAnsi="Verdana"/>
          <w:i/>
          <w:sz w:val="16"/>
          <w:szCs w:val="16"/>
        </w:rPr>
        <w:tab/>
        <w:t>NAILS</w:t>
      </w:r>
      <w:r w:rsidR="0053329E" w:rsidRPr="00E10A93">
        <w:rPr>
          <w:rFonts w:ascii="Verdana" w:hAnsi="Verdana"/>
          <w:i/>
          <w:sz w:val="16"/>
          <w:szCs w:val="16"/>
        </w:rPr>
        <w:t xml:space="preserve"> </w:t>
      </w:r>
      <w:r w:rsidR="003E67DF" w:rsidRPr="00E10A93">
        <w:rPr>
          <w:rFonts w:ascii="Verdana" w:hAnsi="Verdana"/>
          <w:sz w:val="16"/>
          <w:szCs w:val="16"/>
        </w:rPr>
        <w:t>2017–2018</w:t>
      </w:r>
      <w:r w:rsidRPr="00E10A93">
        <w:rPr>
          <w:rFonts w:ascii="Verdana" w:hAnsi="Verdana"/>
          <w:sz w:val="16"/>
          <w:szCs w:val="16"/>
        </w:rPr>
        <w:t xml:space="preserve"> Big Book</w:t>
      </w:r>
    </w:p>
    <w:p w14:paraId="2025B05C" w14:textId="77777777" w:rsidR="00476E47" w:rsidRPr="00E10A93" w:rsidRDefault="00476E47" w:rsidP="00476E47">
      <w:pPr>
        <w:spacing w:after="0" w:line="240" w:lineRule="auto"/>
        <w:rPr>
          <w:sz w:val="20"/>
          <w:szCs w:val="20"/>
        </w:rPr>
      </w:pPr>
    </w:p>
    <w:p w14:paraId="60EB8120" w14:textId="7437F05D" w:rsidR="00476E47" w:rsidRPr="00E10A93" w:rsidRDefault="00476E47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  <w:r w:rsidRPr="00E10A93">
        <w:rPr>
          <w:b/>
          <w:color w:val="3366FF"/>
          <w:sz w:val="20"/>
          <w:szCs w:val="20"/>
        </w:rPr>
        <w:t>Nail Professional</w:t>
      </w:r>
      <w:r w:rsidR="0053329E" w:rsidRPr="00E10A93">
        <w:rPr>
          <w:b/>
          <w:color w:val="3366FF"/>
          <w:sz w:val="20"/>
          <w:szCs w:val="20"/>
        </w:rPr>
        <w:t>s’</w:t>
      </w:r>
      <w:r w:rsidRPr="00E10A93">
        <w:rPr>
          <w:b/>
          <w:color w:val="3366FF"/>
          <w:sz w:val="20"/>
          <w:szCs w:val="20"/>
        </w:rPr>
        <w:t xml:space="preserve"> Perspectives</w:t>
      </w:r>
    </w:p>
    <w:p w14:paraId="45C5A24F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49F089F0" w14:textId="169B72D9" w:rsidR="00476E47" w:rsidRPr="00E10A93" w:rsidRDefault="00346F3C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 xml:space="preserve">Almost a third, </w:t>
      </w:r>
      <w:r w:rsidR="0053329E" w:rsidRPr="00E10A93">
        <w:rPr>
          <w:sz w:val="20"/>
          <w:szCs w:val="20"/>
        </w:rPr>
        <w:t xml:space="preserve">or </w:t>
      </w:r>
      <w:r w:rsidRPr="00E10A93">
        <w:rPr>
          <w:sz w:val="20"/>
          <w:szCs w:val="20"/>
        </w:rPr>
        <w:t>31.6%</w:t>
      </w:r>
      <w:r w:rsidR="0053329E" w:rsidRPr="00E10A93">
        <w:rPr>
          <w:sz w:val="20"/>
          <w:szCs w:val="20"/>
        </w:rPr>
        <w:t>,</w:t>
      </w:r>
      <w:r w:rsidRPr="00E10A93">
        <w:rPr>
          <w:sz w:val="20"/>
          <w:szCs w:val="20"/>
        </w:rPr>
        <w:t xml:space="preserve"> of nail professionals do not work in a traditional salon environment.</w:t>
      </w:r>
      <w:r w:rsidR="0053329E" w:rsidRPr="00E10A93">
        <w:rPr>
          <w:sz w:val="20"/>
          <w:szCs w:val="20"/>
        </w:rPr>
        <w:t xml:space="preserve"> More than</w:t>
      </w:r>
      <w:r w:rsidRPr="00E10A93">
        <w:rPr>
          <w:sz w:val="20"/>
          <w:szCs w:val="20"/>
        </w:rPr>
        <w:t xml:space="preserve"> one in five, </w:t>
      </w:r>
      <w:r w:rsidR="0053329E" w:rsidRPr="00E10A93">
        <w:rPr>
          <w:sz w:val="20"/>
          <w:szCs w:val="20"/>
        </w:rPr>
        <w:t xml:space="preserve">or </w:t>
      </w:r>
      <w:r w:rsidRPr="00E10A93">
        <w:rPr>
          <w:sz w:val="20"/>
          <w:szCs w:val="20"/>
        </w:rPr>
        <w:t>21.9%, are salon owners doing nails, 18.6% are booth renters and</w:t>
      </w:r>
      <w:r w:rsidR="00A73A64" w:rsidRPr="00E10A93">
        <w:rPr>
          <w:sz w:val="20"/>
          <w:szCs w:val="20"/>
        </w:rPr>
        <w:t xml:space="preserve"> 10.1% are employees of</w:t>
      </w:r>
      <w:r w:rsidR="0053329E" w:rsidRPr="00E10A93">
        <w:rPr>
          <w:sz w:val="20"/>
          <w:szCs w:val="20"/>
        </w:rPr>
        <w:t xml:space="preserve"> a salon; 74% provide all their </w:t>
      </w:r>
      <w:r w:rsidR="00A73A64" w:rsidRPr="00E10A93">
        <w:rPr>
          <w:sz w:val="20"/>
          <w:szCs w:val="20"/>
        </w:rPr>
        <w:t>supplies.</w:t>
      </w:r>
    </w:p>
    <w:p w14:paraId="2BE8A2D7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16BBE61A" w14:textId="3AC73D4A" w:rsidR="00476E47" w:rsidRPr="00E10A93" w:rsidRDefault="00346F3C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Average weekly service income was $653.14 for 2017, an inc</w:t>
      </w:r>
      <w:r w:rsidR="0053329E" w:rsidRPr="00E10A93">
        <w:rPr>
          <w:sz w:val="20"/>
          <w:szCs w:val="20"/>
        </w:rPr>
        <w:t>rease of 3.7% from 2016. Thirty-</w:t>
      </w:r>
      <w:r w:rsidRPr="00E10A93">
        <w:rPr>
          <w:sz w:val="20"/>
          <w:szCs w:val="20"/>
        </w:rPr>
        <w:t>one percent make more than $</w:t>
      </w:r>
      <w:r w:rsidR="0053329E" w:rsidRPr="00E10A93">
        <w:rPr>
          <w:sz w:val="20"/>
          <w:szCs w:val="20"/>
        </w:rPr>
        <w:t>750 per week, 8.1% make $651 to</w:t>
      </w:r>
      <w:r w:rsidRPr="00E10A93">
        <w:rPr>
          <w:sz w:val="20"/>
          <w:szCs w:val="20"/>
        </w:rPr>
        <w:t xml:space="preserve"> $750. </w:t>
      </w:r>
      <w:r w:rsidR="0053329E" w:rsidRPr="00E10A93">
        <w:rPr>
          <w:sz w:val="20"/>
          <w:szCs w:val="20"/>
        </w:rPr>
        <w:t>More than</w:t>
      </w:r>
      <w:r w:rsidRPr="00E10A93">
        <w:rPr>
          <w:sz w:val="20"/>
          <w:szCs w:val="20"/>
        </w:rPr>
        <w:t xml:space="preserve"> a third, </w:t>
      </w:r>
      <w:r w:rsidR="0053329E" w:rsidRPr="00E10A93">
        <w:rPr>
          <w:sz w:val="20"/>
          <w:szCs w:val="20"/>
        </w:rPr>
        <w:t xml:space="preserve">or </w:t>
      </w:r>
      <w:r w:rsidRPr="00E10A93">
        <w:rPr>
          <w:sz w:val="20"/>
          <w:szCs w:val="20"/>
        </w:rPr>
        <w:t>37.9%</w:t>
      </w:r>
      <w:r w:rsidR="0053329E" w:rsidRPr="00E10A93">
        <w:rPr>
          <w:sz w:val="20"/>
          <w:szCs w:val="20"/>
        </w:rPr>
        <w:t>,</w:t>
      </w:r>
      <w:r w:rsidRPr="00E10A93">
        <w:rPr>
          <w:sz w:val="20"/>
          <w:szCs w:val="20"/>
        </w:rPr>
        <w:t xml:space="preserve"> earn less than $350 per week.</w:t>
      </w:r>
    </w:p>
    <w:p w14:paraId="41773EAC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16AC346A" w14:textId="45008183" w:rsidR="00476E47" w:rsidRPr="00E10A93" w:rsidRDefault="0053329E" w:rsidP="00476E47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More than</w:t>
      </w:r>
      <w:r w:rsidR="00346F3C" w:rsidRPr="00E10A93">
        <w:rPr>
          <w:sz w:val="20"/>
          <w:szCs w:val="20"/>
        </w:rPr>
        <w:t xml:space="preserve"> a third, </w:t>
      </w:r>
      <w:r w:rsidRPr="00E10A93">
        <w:rPr>
          <w:sz w:val="20"/>
          <w:szCs w:val="20"/>
        </w:rPr>
        <w:t xml:space="preserve">or </w:t>
      </w:r>
      <w:r w:rsidR="00346F3C" w:rsidRPr="00E10A93">
        <w:rPr>
          <w:sz w:val="20"/>
          <w:szCs w:val="20"/>
        </w:rPr>
        <w:t>37.2%, use a traditional paper calendar sys</w:t>
      </w:r>
      <w:r w:rsidRPr="00E10A93">
        <w:rPr>
          <w:sz w:val="20"/>
          <w:szCs w:val="20"/>
        </w:rPr>
        <w:t>tem to book client appointments; 18.4%, text;</w:t>
      </w:r>
      <w:r w:rsidR="00346F3C" w:rsidRPr="00E10A93">
        <w:rPr>
          <w:sz w:val="20"/>
          <w:szCs w:val="20"/>
        </w:rPr>
        <w:t xml:space="preserve"> 16.1%</w:t>
      </w:r>
      <w:r w:rsidRPr="00E10A93">
        <w:rPr>
          <w:sz w:val="20"/>
          <w:szCs w:val="20"/>
        </w:rPr>
        <w:t>, a computer software program;</w:t>
      </w:r>
      <w:r w:rsidR="00346F3C" w:rsidRPr="00E10A93">
        <w:rPr>
          <w:sz w:val="20"/>
          <w:szCs w:val="20"/>
        </w:rPr>
        <w:t xml:space="preserve"> 13.0%</w:t>
      </w:r>
      <w:r w:rsidRPr="00E10A93">
        <w:rPr>
          <w:sz w:val="20"/>
          <w:szCs w:val="20"/>
        </w:rPr>
        <w:t>, an online booking program;</w:t>
      </w:r>
      <w:r w:rsidR="00346F3C" w:rsidRPr="00E10A93">
        <w:rPr>
          <w:sz w:val="20"/>
          <w:szCs w:val="20"/>
        </w:rPr>
        <w:t xml:space="preserve"> 9.2%</w:t>
      </w:r>
      <w:r w:rsidRPr="00E10A93">
        <w:rPr>
          <w:sz w:val="20"/>
          <w:szCs w:val="20"/>
        </w:rPr>
        <w:t>,</w:t>
      </w:r>
      <w:r w:rsidR="00346F3C" w:rsidRPr="00E10A93">
        <w:rPr>
          <w:sz w:val="20"/>
          <w:szCs w:val="20"/>
        </w:rPr>
        <w:t xml:space="preserve"> a smartphone booking app</w:t>
      </w:r>
      <w:r w:rsidRPr="00E10A93">
        <w:rPr>
          <w:sz w:val="20"/>
          <w:szCs w:val="20"/>
        </w:rPr>
        <w:t>;</w:t>
      </w:r>
      <w:r w:rsidR="00346F3C" w:rsidRPr="00E10A93">
        <w:rPr>
          <w:sz w:val="20"/>
          <w:szCs w:val="20"/>
        </w:rPr>
        <w:t xml:space="preserve"> and 6.1%</w:t>
      </w:r>
      <w:r w:rsidRPr="00E10A93">
        <w:rPr>
          <w:sz w:val="20"/>
          <w:szCs w:val="20"/>
        </w:rPr>
        <w:t>,</w:t>
      </w:r>
      <w:r w:rsidR="00346F3C" w:rsidRPr="00E10A93">
        <w:rPr>
          <w:sz w:val="20"/>
          <w:szCs w:val="20"/>
        </w:rPr>
        <w:t xml:space="preserve"> other.</w:t>
      </w:r>
    </w:p>
    <w:p w14:paraId="67637782" w14:textId="77777777" w:rsidR="00476E47" w:rsidRPr="00E10A93" w:rsidRDefault="00476E47" w:rsidP="00476E47">
      <w:pPr>
        <w:spacing w:after="0" w:line="240" w:lineRule="auto"/>
        <w:rPr>
          <w:sz w:val="20"/>
          <w:szCs w:val="20"/>
        </w:rPr>
      </w:pPr>
    </w:p>
    <w:p w14:paraId="6DECAE7C" w14:textId="3588F4AE" w:rsidR="00476E47" w:rsidRPr="00E10A93" w:rsidRDefault="00A73A64" w:rsidP="00476E47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>Social Media Platforms</w:t>
      </w:r>
      <w:r w:rsidR="00F10E54" w:rsidRPr="00E10A93">
        <w:rPr>
          <w:b/>
          <w:sz w:val="20"/>
          <w:szCs w:val="20"/>
        </w:rPr>
        <w:t xml:space="preserve"> Used by Nail Techs and Salons,</w:t>
      </w:r>
      <w:r w:rsidR="00476E47" w:rsidRPr="00E10A93">
        <w:rPr>
          <w:b/>
          <w:sz w:val="20"/>
          <w:szCs w:val="20"/>
        </w:rPr>
        <w:t xml:space="preserve"> 201</w:t>
      </w:r>
      <w:r w:rsidRPr="00E10A93">
        <w:rPr>
          <w:b/>
          <w:sz w:val="20"/>
          <w:szCs w:val="20"/>
        </w:rPr>
        <w:t>7</w:t>
      </w:r>
    </w:p>
    <w:tbl>
      <w:tblPr>
        <w:tblW w:w="7669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10"/>
        <w:gridCol w:w="1035"/>
        <w:gridCol w:w="1035"/>
        <w:gridCol w:w="1748"/>
        <w:gridCol w:w="1070"/>
        <w:gridCol w:w="1071"/>
      </w:tblGrid>
      <w:tr w:rsidR="00EB65A5" w:rsidRPr="00E10A93" w14:paraId="32225364" w14:textId="77777777" w:rsidTr="00966DDA">
        <w:trPr>
          <w:trHeight w:val="285"/>
          <w:jc w:val="center"/>
        </w:trPr>
        <w:tc>
          <w:tcPr>
            <w:tcW w:w="171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2BEEB958" w14:textId="3616DF9B" w:rsidR="00EB65A5" w:rsidRPr="00E10A93" w:rsidRDefault="00EB65A5" w:rsidP="00A73A6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D</w:t>
            </w:r>
            <w:r w:rsidR="0053329E" w:rsidRPr="00E10A93">
              <w:rPr>
                <w:rFonts w:ascii="Verdana" w:eastAsia="Times New Roman" w:hAnsi="Verdana"/>
                <w:sz w:val="20"/>
                <w:szCs w:val="20"/>
              </w:rPr>
              <w:t>igital Media Pages/A</w:t>
            </w:r>
            <w:r w:rsidRPr="00E10A93">
              <w:rPr>
                <w:rFonts w:ascii="Verdana" w:eastAsia="Times New Roman" w:hAnsi="Verdana"/>
                <w:sz w:val="20"/>
                <w:szCs w:val="20"/>
              </w:rPr>
              <w:t>ccount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004926D6" w14:textId="5386979E" w:rsidR="00EB65A5" w:rsidRPr="00E10A93" w:rsidRDefault="0053329E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Nail T</w:t>
            </w:r>
            <w:r w:rsidR="00EB65A5"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ech</w:t>
            </w:r>
          </w:p>
        </w:tc>
        <w:tc>
          <w:tcPr>
            <w:tcW w:w="1035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14:paraId="39AD9DCD" w14:textId="0876C8C2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Salon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1D2563E5" w14:textId="027D8706" w:rsidR="00EB65A5" w:rsidRPr="00E10A93" w:rsidRDefault="00966DDA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Digital Media Pages/A</w:t>
            </w:r>
            <w:r w:rsidR="00EB65A5" w:rsidRPr="00E10A93">
              <w:rPr>
                <w:rFonts w:ascii="Verdana" w:eastAsia="Times New Roman" w:hAnsi="Verdana"/>
                <w:sz w:val="20"/>
                <w:szCs w:val="20"/>
              </w:rPr>
              <w:t>ccount</w:t>
            </w:r>
          </w:p>
        </w:tc>
        <w:tc>
          <w:tcPr>
            <w:tcW w:w="107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8" w:space="0" w:color="auto"/>
            </w:tcBorders>
            <w:vAlign w:val="center"/>
          </w:tcPr>
          <w:p w14:paraId="6370F489" w14:textId="651EEF19" w:rsidR="00EB65A5" w:rsidRPr="00E10A93" w:rsidRDefault="00966DDA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Nail T</w:t>
            </w:r>
            <w:r w:rsidR="00EB65A5"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ech</w:t>
            </w:r>
          </w:p>
        </w:tc>
        <w:tc>
          <w:tcPr>
            <w:tcW w:w="1071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2" w:space="0" w:color="000000"/>
            </w:tcBorders>
            <w:vAlign w:val="center"/>
          </w:tcPr>
          <w:p w14:paraId="5A00993D" w14:textId="53E699EE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Salon</w:t>
            </w:r>
          </w:p>
        </w:tc>
      </w:tr>
      <w:tr w:rsidR="00EB65A5" w:rsidRPr="00E10A93" w14:paraId="6597D663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E5FB20" w14:textId="4CF2E319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Snapchat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36DFD7D6" w14:textId="2CFDC643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95%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07068973" w14:textId="50006748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12%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514729A5" w14:textId="21D0AA10" w:rsidR="00EB65A5" w:rsidRPr="00E10A93" w:rsidRDefault="00EB65A5" w:rsidP="00EB65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Instagram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740163D8" w14:textId="5D18F942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CAEC4AE" w14:textId="221F43D4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50%</w:t>
            </w:r>
          </w:p>
        </w:tc>
      </w:tr>
      <w:tr w:rsidR="00EB65A5" w:rsidRPr="00E10A93" w14:paraId="3CC83ED1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D08730D" w14:textId="1CFF1206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Pinterest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18328075" w14:textId="3B9D7A94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66BDFA0" w14:textId="3A8726D3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21%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B65D23B" w14:textId="2479D03E" w:rsidR="00EB65A5" w:rsidRPr="00E10A93" w:rsidRDefault="00EB65A5" w:rsidP="00EB65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Facebook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A6DEB27" w14:textId="7036A526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BED0C2F" w14:textId="7B6A9FB5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64%</w:t>
            </w:r>
          </w:p>
        </w:tc>
      </w:tr>
      <w:tr w:rsidR="00EB65A5" w:rsidRPr="00E10A93" w14:paraId="70CD09EB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91EB9B4" w14:textId="00631ECA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LinkedIn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5AC7302A" w14:textId="43814B41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92%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720527C3" w14:textId="6DE9352E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19%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E224EB7" w14:textId="447DDB2A" w:rsidR="00EB65A5" w:rsidRPr="00E10A93" w:rsidRDefault="00EB65A5" w:rsidP="00EB65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Blog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00F9A375" w14:textId="2B4DB034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72%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1D7A8670" w14:textId="5E6D7B7A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</w:tr>
      <w:tr w:rsidR="00EB65A5" w:rsidRPr="00E10A93" w14:paraId="3B144239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0278D5" w14:textId="0F7DAA3D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YouTube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4AE22B9D" w14:textId="3649B5B1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86%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14:paraId="29E5B4DA" w14:textId="26AA1F52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31%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734A5499" w14:textId="1079A14F" w:rsidR="00EB65A5" w:rsidRPr="00E10A93" w:rsidRDefault="00EB65A5" w:rsidP="00EB65A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Foursquare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8" w:space="0" w:color="auto"/>
            </w:tcBorders>
            <w:vAlign w:val="center"/>
          </w:tcPr>
          <w:p w14:paraId="2019DAEE" w14:textId="252E1A82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42%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6A665283" w14:textId="74BBB9A7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70%</w:t>
            </w:r>
          </w:p>
        </w:tc>
      </w:tr>
      <w:tr w:rsidR="00EB65A5" w:rsidRPr="00E10A93" w14:paraId="0C5B61FF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5442C69" w14:textId="68DC9ABB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Twitter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5368ABC2" w14:textId="7228EF84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81%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14:paraId="52FB08EE" w14:textId="27799743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76FF5BF2" w14:textId="77777777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shd w:val="clear" w:color="auto" w:fill="E0E0E0"/>
          </w:tcPr>
          <w:p w14:paraId="16FE83B7" w14:textId="07CA4D2D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shd w:val="clear" w:color="auto" w:fill="E0E0E0"/>
          </w:tcPr>
          <w:p w14:paraId="50168332" w14:textId="05D6A82D" w:rsidR="00EB65A5" w:rsidRPr="00E10A93" w:rsidRDefault="00EB65A5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</w:tbl>
    <w:p w14:paraId="7B483118" w14:textId="69448232" w:rsidR="00476E47" w:rsidRPr="00E10A93" w:rsidRDefault="00476E47" w:rsidP="00966DDA">
      <w:pPr>
        <w:tabs>
          <w:tab w:val="left" w:pos="900"/>
        </w:tabs>
        <w:spacing w:after="0" w:line="240" w:lineRule="auto"/>
        <w:contextualSpacing/>
      </w:pPr>
      <w:r w:rsidRPr="00E10A93">
        <w:rPr>
          <w:rFonts w:ascii="Verdana" w:hAnsi="Verdana"/>
          <w:i/>
          <w:sz w:val="16"/>
          <w:szCs w:val="16"/>
        </w:rPr>
        <w:tab/>
        <w:t xml:space="preserve">NAILS </w:t>
      </w:r>
      <w:r w:rsidR="00A73A64" w:rsidRPr="00E10A93">
        <w:rPr>
          <w:rFonts w:ascii="Verdana" w:hAnsi="Verdana"/>
          <w:sz w:val="16"/>
          <w:szCs w:val="16"/>
        </w:rPr>
        <w:t>2017</w:t>
      </w:r>
      <w:r w:rsidRPr="00E10A93">
        <w:rPr>
          <w:rFonts w:ascii="Verdana" w:hAnsi="Verdana"/>
          <w:sz w:val="16"/>
          <w:szCs w:val="16"/>
        </w:rPr>
        <w:t>-201</w:t>
      </w:r>
      <w:r w:rsidR="00A73A64" w:rsidRPr="00E10A93">
        <w:rPr>
          <w:rFonts w:ascii="Verdana" w:hAnsi="Verdana"/>
          <w:sz w:val="16"/>
          <w:szCs w:val="16"/>
        </w:rPr>
        <w:t>8</w:t>
      </w:r>
      <w:r w:rsidRPr="00E10A93">
        <w:rPr>
          <w:rFonts w:ascii="Verdana" w:hAnsi="Verdana"/>
          <w:i/>
          <w:sz w:val="16"/>
          <w:szCs w:val="16"/>
        </w:rPr>
        <w:t xml:space="preserve"> </w:t>
      </w:r>
      <w:r w:rsidRPr="00E10A93">
        <w:rPr>
          <w:rFonts w:ascii="Verdana" w:hAnsi="Verdana"/>
          <w:sz w:val="16"/>
          <w:szCs w:val="16"/>
        </w:rPr>
        <w:t>Big Book</w:t>
      </w:r>
    </w:p>
    <w:p w14:paraId="4B4756C9" w14:textId="77777777" w:rsidR="00A2658C" w:rsidRPr="00E10A93" w:rsidRDefault="00A2658C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</w:p>
    <w:p w14:paraId="2182A2E1" w14:textId="77777777" w:rsidR="00AB4068" w:rsidRPr="00E10A93" w:rsidRDefault="00AB4068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</w:p>
    <w:p w14:paraId="2BAF631D" w14:textId="77777777" w:rsidR="00AB4068" w:rsidRPr="00E10A93" w:rsidRDefault="00AB4068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</w:p>
    <w:p w14:paraId="1B906660" w14:textId="6A9F1A06" w:rsidR="00476E47" w:rsidRPr="00E10A93" w:rsidRDefault="001D0236" w:rsidP="00476E47">
      <w:pPr>
        <w:spacing w:after="0" w:line="240" w:lineRule="auto"/>
        <w:contextualSpacing/>
        <w:jc w:val="center"/>
        <w:rPr>
          <w:b/>
          <w:color w:val="3366FF"/>
          <w:sz w:val="20"/>
          <w:szCs w:val="20"/>
        </w:rPr>
      </w:pPr>
      <w:r w:rsidRPr="00E10A93">
        <w:rPr>
          <w:b/>
          <w:color w:val="3366FF"/>
          <w:sz w:val="20"/>
          <w:szCs w:val="20"/>
        </w:rPr>
        <w:lastRenderedPageBreak/>
        <w:t>The Future of Beauty</w:t>
      </w:r>
    </w:p>
    <w:p w14:paraId="0DB41FB5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52312A62" w14:textId="71C07E8B" w:rsidR="00476E47" w:rsidRPr="00E10A93" w:rsidRDefault="001D0236" w:rsidP="001D0236">
      <w:pPr>
        <w:pStyle w:val="ListParagraph"/>
        <w:numPr>
          <w:ilvl w:val="0"/>
          <w:numId w:val="4"/>
        </w:numPr>
        <w:spacing w:after="0" w:line="240" w:lineRule="auto"/>
        <w:ind w:right="-180"/>
        <w:rPr>
          <w:sz w:val="20"/>
          <w:szCs w:val="20"/>
        </w:rPr>
      </w:pPr>
      <w:r w:rsidRPr="00E10A93">
        <w:rPr>
          <w:sz w:val="20"/>
          <w:szCs w:val="20"/>
        </w:rPr>
        <w:t>Hair products that are eco-conscious are becoming more popular. The mo</w:t>
      </w:r>
      <w:r w:rsidR="00966DDA" w:rsidRPr="00E10A93">
        <w:rPr>
          <w:sz w:val="20"/>
          <w:szCs w:val="20"/>
        </w:rPr>
        <w:t xml:space="preserve">st cited “green” feature </w:t>
      </w:r>
      <w:r w:rsidR="00966DDA" w:rsidRPr="00E10A93">
        <w:rPr>
          <w:sz w:val="20"/>
          <w:szCs w:val="20"/>
        </w:rPr>
        <w:t>across all generations</w:t>
      </w:r>
      <w:r w:rsidR="00966DDA" w:rsidRPr="00E10A93">
        <w:rPr>
          <w:sz w:val="20"/>
          <w:szCs w:val="20"/>
        </w:rPr>
        <w:t xml:space="preserve"> is all-</w:t>
      </w:r>
      <w:r w:rsidRPr="00E10A93">
        <w:rPr>
          <w:sz w:val="20"/>
          <w:szCs w:val="20"/>
        </w:rPr>
        <w:t>natural ingredients</w:t>
      </w:r>
      <w:r w:rsidR="00966DDA" w:rsidRPr="00E10A93">
        <w:rPr>
          <w:sz w:val="20"/>
          <w:szCs w:val="20"/>
        </w:rPr>
        <w:t>. “Free-</w:t>
      </w:r>
      <w:r w:rsidRPr="00E10A93">
        <w:rPr>
          <w:sz w:val="20"/>
          <w:szCs w:val="20"/>
        </w:rPr>
        <w:t xml:space="preserve">from” claims are compelling for younger </w:t>
      </w:r>
      <w:r w:rsidR="005E38A5">
        <w:rPr>
          <w:sz w:val="20"/>
          <w:szCs w:val="20"/>
        </w:rPr>
        <w:t>customers</w:t>
      </w:r>
      <w:r w:rsidRPr="00E10A93">
        <w:rPr>
          <w:sz w:val="20"/>
          <w:szCs w:val="20"/>
        </w:rPr>
        <w:t>, while plant-derived ingred</w:t>
      </w:r>
      <w:r w:rsidR="005E38A5">
        <w:rPr>
          <w:sz w:val="20"/>
          <w:szCs w:val="20"/>
        </w:rPr>
        <w:t>ients resonate with older customers</w:t>
      </w:r>
      <w:r w:rsidRPr="00E10A93">
        <w:rPr>
          <w:sz w:val="20"/>
          <w:szCs w:val="20"/>
        </w:rPr>
        <w:t>.</w:t>
      </w:r>
    </w:p>
    <w:p w14:paraId="4333E451" w14:textId="77777777" w:rsidR="00476E47" w:rsidRPr="00E10A93" w:rsidRDefault="00476E47" w:rsidP="00476E47">
      <w:pPr>
        <w:spacing w:after="0" w:line="240" w:lineRule="auto"/>
        <w:contextualSpacing/>
        <w:rPr>
          <w:sz w:val="20"/>
          <w:szCs w:val="20"/>
        </w:rPr>
      </w:pPr>
    </w:p>
    <w:p w14:paraId="38CAD4CA" w14:textId="683E375D" w:rsidR="00476E47" w:rsidRPr="00E10A93" w:rsidRDefault="00966DDA" w:rsidP="00476E47">
      <w:pPr>
        <w:pStyle w:val="ListParagraph"/>
        <w:numPr>
          <w:ilvl w:val="0"/>
          <w:numId w:val="4"/>
        </w:numPr>
        <w:spacing w:after="0" w:line="240" w:lineRule="auto"/>
        <w:rPr>
          <w:sz w:val="20"/>
          <w:szCs w:val="20"/>
        </w:rPr>
      </w:pPr>
      <w:r w:rsidRPr="00E10A93">
        <w:rPr>
          <w:sz w:val="20"/>
          <w:szCs w:val="20"/>
        </w:rPr>
        <w:t>Retailers, such as Sephora, are using v</w:t>
      </w:r>
      <w:r w:rsidR="00732B0C" w:rsidRPr="00E10A93">
        <w:rPr>
          <w:sz w:val="20"/>
          <w:szCs w:val="20"/>
        </w:rPr>
        <w:t>i</w:t>
      </w:r>
      <w:r w:rsidRPr="00E10A93">
        <w:rPr>
          <w:sz w:val="20"/>
          <w:szCs w:val="20"/>
        </w:rPr>
        <w:t xml:space="preserve">rtual reality </w:t>
      </w:r>
      <w:r w:rsidR="00732B0C" w:rsidRPr="00E10A93">
        <w:rPr>
          <w:sz w:val="20"/>
          <w:szCs w:val="20"/>
        </w:rPr>
        <w:t>to show customers how they would look in differ</w:t>
      </w:r>
      <w:r w:rsidRPr="00E10A93">
        <w:rPr>
          <w:sz w:val="20"/>
          <w:szCs w:val="20"/>
        </w:rPr>
        <w:t>ent types of makeup. This technology could be a boost for</w:t>
      </w:r>
      <w:r w:rsidR="00732B0C" w:rsidRPr="00E10A93">
        <w:rPr>
          <w:sz w:val="20"/>
          <w:szCs w:val="20"/>
        </w:rPr>
        <w:t xml:space="preserve"> </w:t>
      </w:r>
      <w:r w:rsidR="005E38A5">
        <w:rPr>
          <w:sz w:val="20"/>
          <w:szCs w:val="20"/>
        </w:rPr>
        <w:t xml:space="preserve">local </w:t>
      </w:r>
      <w:r w:rsidR="00732B0C" w:rsidRPr="00E10A93">
        <w:rPr>
          <w:sz w:val="20"/>
          <w:szCs w:val="20"/>
        </w:rPr>
        <w:t>hair salons and skincare retailers</w:t>
      </w:r>
      <w:r w:rsidRPr="00E10A93">
        <w:rPr>
          <w:sz w:val="20"/>
          <w:szCs w:val="20"/>
        </w:rPr>
        <w:t>, too</w:t>
      </w:r>
      <w:r w:rsidR="00732B0C" w:rsidRPr="00E10A93">
        <w:rPr>
          <w:sz w:val="20"/>
          <w:szCs w:val="20"/>
        </w:rPr>
        <w:t>.</w:t>
      </w:r>
    </w:p>
    <w:p w14:paraId="5852094C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  <w:bookmarkStart w:id="0" w:name="_GoBack"/>
      <w:bookmarkEnd w:id="0"/>
    </w:p>
    <w:p w14:paraId="5E3B8020" w14:textId="43B71401" w:rsidR="00476E47" w:rsidRPr="00E10A93" w:rsidRDefault="00732B0C" w:rsidP="00732B0C">
      <w:pPr>
        <w:pStyle w:val="NoSpacing"/>
        <w:numPr>
          <w:ilvl w:val="0"/>
          <w:numId w:val="4"/>
        </w:numPr>
        <w:ind w:right="-90"/>
        <w:contextualSpacing/>
        <w:rPr>
          <w:sz w:val="20"/>
          <w:szCs w:val="20"/>
        </w:rPr>
      </w:pPr>
      <w:r w:rsidRPr="00E10A93">
        <w:rPr>
          <w:sz w:val="20"/>
          <w:szCs w:val="20"/>
        </w:rPr>
        <w:t xml:space="preserve">Gen Z girls are </w:t>
      </w:r>
      <w:r w:rsidR="00966DDA" w:rsidRPr="00E10A93">
        <w:rPr>
          <w:sz w:val="20"/>
          <w:szCs w:val="20"/>
        </w:rPr>
        <w:t>being</w:t>
      </w:r>
      <w:r w:rsidRPr="00E10A93">
        <w:rPr>
          <w:sz w:val="20"/>
          <w:szCs w:val="20"/>
        </w:rPr>
        <w:t xml:space="preserve"> pressure</w:t>
      </w:r>
      <w:r w:rsidR="00966DDA" w:rsidRPr="00E10A93">
        <w:rPr>
          <w:sz w:val="20"/>
          <w:szCs w:val="20"/>
        </w:rPr>
        <w:t>d</w:t>
      </w:r>
      <w:r w:rsidRPr="00E10A93">
        <w:rPr>
          <w:sz w:val="20"/>
          <w:szCs w:val="20"/>
        </w:rPr>
        <w:t xml:space="preserve"> to improve their appearance</w:t>
      </w:r>
      <w:r w:rsidR="00966DDA" w:rsidRPr="00E10A93">
        <w:rPr>
          <w:sz w:val="20"/>
          <w:szCs w:val="20"/>
        </w:rPr>
        <w:t>, and are purchasing more beauty products. Almost</w:t>
      </w:r>
      <w:r w:rsidRPr="00E10A93">
        <w:rPr>
          <w:sz w:val="20"/>
          <w:szCs w:val="20"/>
        </w:rPr>
        <w:t xml:space="preserve"> two-thirds of US female teens use YouTube for beauty, 56% follow beauty brands on social media and 45% have posted about beauty.</w:t>
      </w:r>
    </w:p>
    <w:p w14:paraId="2BAF2B76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2DCBE990" w14:textId="0D225ABE" w:rsidR="00476E47" w:rsidRPr="00E10A93" w:rsidRDefault="00966DDA" w:rsidP="00476E47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>Top-</w:t>
      </w:r>
      <w:r w:rsidR="00526E71" w:rsidRPr="00E10A93">
        <w:rPr>
          <w:b/>
          <w:sz w:val="20"/>
          <w:szCs w:val="20"/>
        </w:rPr>
        <w:t>4 Types of Beauty/Personal Care Products Used by Teens</w:t>
      </w:r>
      <w:r w:rsidR="00476E47" w:rsidRPr="00E10A93">
        <w:rPr>
          <w:b/>
          <w:sz w:val="20"/>
          <w:szCs w:val="20"/>
        </w:rPr>
        <w:t xml:space="preserve">, </w:t>
      </w:r>
      <w:r w:rsidR="00526E71" w:rsidRPr="00E10A93">
        <w:rPr>
          <w:b/>
          <w:sz w:val="20"/>
          <w:szCs w:val="20"/>
        </w:rPr>
        <w:t>2017</w:t>
      </w:r>
    </w:p>
    <w:tbl>
      <w:tblPr>
        <w:tblW w:w="391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7"/>
        <w:gridCol w:w="1111"/>
      </w:tblGrid>
      <w:tr w:rsidR="00526E71" w:rsidRPr="00E10A93" w14:paraId="2A225A95" w14:textId="77777777" w:rsidTr="00966DDA">
        <w:trPr>
          <w:trHeight w:val="285"/>
          <w:jc w:val="center"/>
        </w:trPr>
        <w:tc>
          <w:tcPr>
            <w:tcW w:w="2807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02CBFF3A" w14:textId="38D90321" w:rsidR="00526E71" w:rsidRPr="00E10A93" w:rsidRDefault="00526E71" w:rsidP="00C11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Product</w:t>
            </w:r>
          </w:p>
        </w:tc>
        <w:tc>
          <w:tcPr>
            <w:tcW w:w="1111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14:paraId="670AF33D" w14:textId="04F1062A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Percent</w:t>
            </w:r>
          </w:p>
        </w:tc>
      </w:tr>
      <w:tr w:rsidR="00526E71" w:rsidRPr="00E10A93" w14:paraId="420BCB6F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455752AF" w14:textId="40DB98E6" w:rsidR="00526E71" w:rsidRPr="00E10A93" w:rsidRDefault="00526E71" w:rsidP="00526E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Girls</w:t>
            </w:r>
          </w:p>
        </w:tc>
      </w:tr>
      <w:tr w:rsidR="00526E71" w:rsidRPr="00E10A93" w14:paraId="02A72A72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9883338" w14:textId="4385741D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Mascara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21D9A3" w14:textId="71C45E17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54%</w:t>
            </w:r>
          </w:p>
        </w:tc>
      </w:tr>
      <w:tr w:rsidR="00526E71" w:rsidRPr="00E10A93" w14:paraId="3221F5CF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6213FDED" w14:textId="155A853B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Foundation/concealer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40154E0" w14:textId="4CB5D910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45%</w:t>
            </w:r>
          </w:p>
        </w:tc>
      </w:tr>
      <w:tr w:rsidR="00526E71" w:rsidRPr="00E10A93" w14:paraId="344A7185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BDFD745" w14:textId="7755103A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Blush/bronzer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526070" w14:textId="155C83F9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30%</w:t>
            </w:r>
          </w:p>
        </w:tc>
      </w:tr>
      <w:tr w:rsidR="00526E71" w:rsidRPr="00E10A93" w14:paraId="0E352236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26F1C413" w14:textId="193FA786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Hair coloring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3FBCEB1" w14:textId="3A0A7EC5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10%</w:t>
            </w:r>
          </w:p>
        </w:tc>
      </w:tr>
      <w:tr w:rsidR="00526E71" w:rsidRPr="00E10A93" w14:paraId="11E4145F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3918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92CDDC" w:themeFill="accent5" w:themeFillTint="99"/>
            <w:vAlign w:val="center"/>
          </w:tcPr>
          <w:p w14:paraId="4A469C39" w14:textId="08B473B0" w:rsidR="00526E71" w:rsidRPr="00E10A93" w:rsidRDefault="00526E71" w:rsidP="00526E7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Boys</w:t>
            </w:r>
          </w:p>
        </w:tc>
      </w:tr>
      <w:tr w:rsidR="00526E71" w:rsidRPr="00E10A93" w14:paraId="3826E8AD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75EE35EF" w14:textId="0DC6DEEA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Facial cleansing products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E97FF38" w14:textId="21625E6C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44%</w:t>
            </w:r>
          </w:p>
        </w:tc>
      </w:tr>
      <w:tr w:rsidR="00526E71" w:rsidRPr="00E10A93" w14:paraId="6668ADCB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47B90CD0" w14:textId="55CD1D8A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Cologne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12D6AD8" w14:textId="38F31BD6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42%</w:t>
            </w:r>
          </w:p>
        </w:tc>
      </w:tr>
      <w:tr w:rsidR="00526E71" w:rsidRPr="00E10A93" w14:paraId="441B4548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14:paraId="58E02FF8" w14:textId="617FBF60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Lip care products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B9D1429" w14:textId="7CDDAF85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41%</w:t>
            </w:r>
          </w:p>
        </w:tc>
      </w:tr>
      <w:tr w:rsidR="00526E71" w:rsidRPr="00E10A93" w14:paraId="4D22D1DB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807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000000"/>
            </w:tcBorders>
            <w:vAlign w:val="center"/>
          </w:tcPr>
          <w:p w14:paraId="694C08BA" w14:textId="5FA385DD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Hair styling products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18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14:paraId="24F7AFDF" w14:textId="1F535591" w:rsidR="00526E71" w:rsidRPr="00E10A93" w:rsidRDefault="00526E71" w:rsidP="00C1151B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29%</w:t>
            </w:r>
          </w:p>
        </w:tc>
      </w:tr>
    </w:tbl>
    <w:p w14:paraId="4BD9A236" w14:textId="1111C356" w:rsidR="00476E47" w:rsidRPr="00E10A93" w:rsidRDefault="00966DDA" w:rsidP="00966DDA">
      <w:pPr>
        <w:tabs>
          <w:tab w:val="left" w:pos="2790"/>
        </w:tabs>
        <w:spacing w:after="0" w:line="240" w:lineRule="auto"/>
      </w:pPr>
      <w:r w:rsidRPr="00E10A93">
        <w:rPr>
          <w:rFonts w:ascii="Verdana" w:hAnsi="Verdana"/>
          <w:i/>
          <w:sz w:val="16"/>
          <w:szCs w:val="16"/>
        </w:rPr>
        <w:tab/>
        <w:t>NAILS</w:t>
      </w:r>
      <w:r w:rsidR="00476E47" w:rsidRPr="00E10A93">
        <w:rPr>
          <w:rFonts w:ascii="Verdana" w:hAnsi="Verdana"/>
          <w:i/>
          <w:sz w:val="16"/>
          <w:szCs w:val="16"/>
        </w:rPr>
        <w:t xml:space="preserve">, </w:t>
      </w:r>
      <w:r w:rsidR="00476E47" w:rsidRPr="00E10A93">
        <w:rPr>
          <w:rFonts w:ascii="Verdana" w:hAnsi="Verdana"/>
          <w:sz w:val="16"/>
          <w:szCs w:val="16"/>
        </w:rPr>
        <w:t>August 2016 issue</w:t>
      </w:r>
    </w:p>
    <w:p w14:paraId="7730E1C8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2952B2A3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649BF027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4D58F94F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6961302D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50821E71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2AD6A4B4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07794418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5235F0C2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A622A79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230468A8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B2FC2E1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254275F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21776E9C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DDB1D53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5A01045E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41176DE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5D0A11FE" w14:textId="77777777" w:rsidR="00476E47" w:rsidRPr="00E10A93" w:rsidRDefault="00476E47" w:rsidP="00476E47">
      <w:pPr>
        <w:pStyle w:val="NoSpacing"/>
        <w:contextualSpacing/>
        <w:rPr>
          <w:sz w:val="20"/>
          <w:szCs w:val="20"/>
        </w:rPr>
      </w:pPr>
    </w:p>
    <w:p w14:paraId="7881425A" w14:textId="77777777" w:rsidR="00F94CE8" w:rsidRPr="00E10A93" w:rsidRDefault="00F94CE8" w:rsidP="00260DE9">
      <w:pPr>
        <w:pStyle w:val="NoSpacing"/>
        <w:rPr>
          <w:sz w:val="20"/>
          <w:szCs w:val="20"/>
        </w:rPr>
      </w:pPr>
    </w:p>
    <w:p w14:paraId="11DB62D2" w14:textId="77777777" w:rsidR="00F94CE8" w:rsidRPr="00E10A93" w:rsidRDefault="00F94CE8" w:rsidP="00260DE9">
      <w:pPr>
        <w:pStyle w:val="NoSpacing"/>
        <w:rPr>
          <w:sz w:val="20"/>
          <w:szCs w:val="20"/>
        </w:rPr>
      </w:pPr>
    </w:p>
    <w:p w14:paraId="0EBBAE64" w14:textId="77777777" w:rsidR="00A2658C" w:rsidRPr="00E10A93" w:rsidRDefault="00A2658C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</w:p>
    <w:p w14:paraId="02C81432" w14:textId="77777777" w:rsidR="00526E71" w:rsidRPr="00E10A93" w:rsidRDefault="00526E71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</w:p>
    <w:p w14:paraId="50BB7796" w14:textId="77777777" w:rsidR="00526E71" w:rsidRPr="00E10A93" w:rsidRDefault="00526E71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</w:p>
    <w:p w14:paraId="05B35E5D" w14:textId="77777777" w:rsidR="00F94CE8" w:rsidRPr="00E10A93" w:rsidRDefault="00F94CE8" w:rsidP="00F94CE8">
      <w:pPr>
        <w:pStyle w:val="NoSpacing"/>
        <w:contextualSpacing/>
        <w:jc w:val="center"/>
        <w:rPr>
          <w:b/>
          <w:color w:val="0070C0"/>
          <w:sz w:val="20"/>
          <w:szCs w:val="20"/>
        </w:rPr>
      </w:pPr>
      <w:r w:rsidRPr="00E10A93">
        <w:rPr>
          <w:b/>
          <w:color w:val="0070C0"/>
          <w:sz w:val="20"/>
          <w:szCs w:val="20"/>
        </w:rPr>
        <w:lastRenderedPageBreak/>
        <w:t>Additional Analysis</w:t>
      </w:r>
    </w:p>
    <w:p w14:paraId="4D37D21A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718411C0" w14:textId="79FFF580" w:rsidR="00F94CE8" w:rsidRPr="00E10A93" w:rsidRDefault="00526E71" w:rsidP="00F94CE8">
      <w:pPr>
        <w:pStyle w:val="NoSpacing"/>
        <w:contextualSpacing/>
        <w:rPr>
          <w:sz w:val="20"/>
          <w:szCs w:val="20"/>
        </w:rPr>
      </w:pPr>
      <w:r w:rsidRPr="00E10A93">
        <w:rPr>
          <w:sz w:val="20"/>
          <w:szCs w:val="20"/>
        </w:rPr>
        <w:t>Millennials and Gen X are the most frequent purchasers of skin care products in general</w:t>
      </w:r>
      <w:r w:rsidR="00966DDA" w:rsidRPr="00E10A93">
        <w:rPr>
          <w:sz w:val="20"/>
          <w:szCs w:val="20"/>
        </w:rPr>
        <w:t>,</w:t>
      </w:r>
      <w:r w:rsidRPr="00E10A93">
        <w:rPr>
          <w:sz w:val="20"/>
          <w:szCs w:val="20"/>
        </w:rPr>
        <w:t xml:space="preserve"> with the exception of acne products (dominated by Gen Z) and hand care and anti-aging products, both dominated by Baby Boomers.</w:t>
      </w:r>
      <w:r w:rsidR="00AA1EE8" w:rsidRPr="00E10A93">
        <w:rPr>
          <w:sz w:val="20"/>
          <w:szCs w:val="20"/>
        </w:rPr>
        <w:t xml:space="preserve"> </w:t>
      </w:r>
    </w:p>
    <w:p w14:paraId="5AD83C23" w14:textId="77777777" w:rsidR="00AA1EE8" w:rsidRPr="00E10A93" w:rsidRDefault="00AA1EE8" w:rsidP="00F94CE8">
      <w:pPr>
        <w:pStyle w:val="NoSpacing"/>
        <w:contextualSpacing/>
        <w:rPr>
          <w:sz w:val="20"/>
          <w:szCs w:val="20"/>
        </w:rPr>
      </w:pPr>
    </w:p>
    <w:p w14:paraId="5CAB4982" w14:textId="7607A24B" w:rsidR="00AA1EE8" w:rsidRPr="00E10A93" w:rsidRDefault="00966DDA" w:rsidP="00F94CE8">
      <w:pPr>
        <w:pStyle w:val="NoSpacing"/>
        <w:contextualSpacing/>
        <w:rPr>
          <w:sz w:val="20"/>
          <w:szCs w:val="20"/>
        </w:rPr>
      </w:pPr>
      <w:r w:rsidRPr="00E10A93">
        <w:rPr>
          <w:sz w:val="20"/>
          <w:szCs w:val="20"/>
        </w:rPr>
        <w:t>Forward-</w:t>
      </w:r>
      <w:r w:rsidR="00AA1EE8" w:rsidRPr="00E10A93">
        <w:rPr>
          <w:sz w:val="20"/>
          <w:szCs w:val="20"/>
        </w:rPr>
        <w:t xml:space="preserve">thinking </w:t>
      </w:r>
      <w:r w:rsidR="00111933" w:rsidRPr="00E10A93">
        <w:rPr>
          <w:sz w:val="20"/>
          <w:szCs w:val="20"/>
        </w:rPr>
        <w:t>beauty companies will cater to Millennials’ desire for individuality by allowing them to customize their skincare using online or mobile apps.</w:t>
      </w:r>
    </w:p>
    <w:p w14:paraId="72A9D893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78E679E8" w14:textId="35D7E7E0" w:rsidR="00F94CE8" w:rsidRPr="00E10A93" w:rsidRDefault="00111933" w:rsidP="00F94CE8">
      <w:pPr>
        <w:pStyle w:val="NoSpacing"/>
        <w:contextualSpacing/>
        <w:rPr>
          <w:sz w:val="20"/>
          <w:szCs w:val="20"/>
        </w:rPr>
      </w:pPr>
      <w:r w:rsidRPr="00E10A93">
        <w:rPr>
          <w:sz w:val="20"/>
          <w:szCs w:val="20"/>
        </w:rPr>
        <w:t xml:space="preserve">A variety of different beauty retailers will move to make their stores a destination for experiences, </w:t>
      </w:r>
      <w:r w:rsidR="00966DDA" w:rsidRPr="00E10A93">
        <w:rPr>
          <w:sz w:val="20"/>
          <w:szCs w:val="20"/>
        </w:rPr>
        <w:t>similar to</w:t>
      </w:r>
      <w:r w:rsidRPr="00E10A93">
        <w:rPr>
          <w:sz w:val="20"/>
          <w:szCs w:val="20"/>
        </w:rPr>
        <w:t xml:space="preserve"> Sephora, adding classes, makeovers and the opportunity to try different makeup and fragrance products.</w:t>
      </w:r>
    </w:p>
    <w:p w14:paraId="6DC49CD3" w14:textId="1BA11E1B" w:rsidR="00F94CE8" w:rsidRPr="00E10A93" w:rsidRDefault="00F94CE8" w:rsidP="00E10A93">
      <w:pPr>
        <w:pStyle w:val="NoSpacing"/>
        <w:tabs>
          <w:tab w:val="left" w:pos="1170"/>
          <w:tab w:val="left" w:pos="2070"/>
        </w:tabs>
        <w:contextualSpacing/>
        <w:rPr>
          <w:sz w:val="20"/>
          <w:szCs w:val="20"/>
        </w:rPr>
      </w:pPr>
    </w:p>
    <w:p w14:paraId="0F0CA01E" w14:textId="77777777" w:rsidR="00E10A93" w:rsidRPr="00E10A93" w:rsidRDefault="00966DDA" w:rsidP="00966DDA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 xml:space="preserve">Preferred Beauty Destinations Among </w:t>
      </w:r>
    </w:p>
    <w:p w14:paraId="252FD980" w14:textId="72675C1D" w:rsidR="00966DDA" w:rsidRPr="00E10A93" w:rsidRDefault="00966DDA" w:rsidP="00966DDA">
      <w:pPr>
        <w:pStyle w:val="Header"/>
        <w:contextualSpacing/>
        <w:jc w:val="center"/>
        <w:rPr>
          <w:b/>
          <w:sz w:val="20"/>
          <w:szCs w:val="20"/>
        </w:rPr>
      </w:pPr>
      <w:r w:rsidRPr="00E10A93">
        <w:rPr>
          <w:b/>
          <w:sz w:val="20"/>
          <w:szCs w:val="20"/>
        </w:rPr>
        <w:t>US Average-Income Female Teens, 2016</w:t>
      </w:r>
    </w:p>
    <w:tbl>
      <w:tblPr>
        <w:tblW w:w="5358" w:type="dxa"/>
        <w:jc w:val="center"/>
        <w:tblBorders>
          <w:top w:val="single" w:sz="8" w:space="0" w:color="000000"/>
          <w:left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554"/>
        <w:gridCol w:w="1554"/>
      </w:tblGrid>
      <w:tr w:rsidR="00966DDA" w:rsidRPr="00E10A93" w14:paraId="3CDFA873" w14:textId="77777777" w:rsidTr="00966DDA">
        <w:trPr>
          <w:trHeight w:val="285"/>
          <w:jc w:val="center"/>
        </w:trPr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37B7DB04" w14:textId="1FCB52EE" w:rsidR="00966DDA" w:rsidRPr="00E10A93" w:rsidRDefault="00966DDA" w:rsidP="00114A3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Retailer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14:paraId="235A084A" w14:textId="5639289C" w:rsidR="00966DDA" w:rsidRPr="00E10A93" w:rsidRDefault="00966DDA" w:rsidP="00114A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Fall 2016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8" w:space="0" w:color="auto"/>
              <w:bottom w:val="single" w:sz="18" w:space="0" w:color="000000"/>
              <w:right w:val="single" w:sz="12" w:space="0" w:color="auto"/>
            </w:tcBorders>
            <w:vAlign w:val="center"/>
          </w:tcPr>
          <w:p w14:paraId="4863EF49" w14:textId="69D7D2B1" w:rsidR="00966DDA" w:rsidRPr="00E10A93" w:rsidRDefault="00966DDA" w:rsidP="00114A36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rFonts w:ascii="Verdana" w:eastAsia="Times New Roman" w:hAnsi="Verdana"/>
                <w:sz w:val="20"/>
                <w:szCs w:val="20"/>
              </w:rPr>
              <w:t>Spring 2016</w:t>
            </w:r>
          </w:p>
        </w:tc>
      </w:tr>
      <w:tr w:rsidR="00966DDA" w:rsidRPr="00E10A93" w14:paraId="099B8D4C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6B4E10F3" w14:textId="0FB5F88D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Ulta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CED3DEE" w14:textId="06B8F1CF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29%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9DD4B39" w14:textId="0F081165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27%</w:t>
            </w:r>
          </w:p>
        </w:tc>
      </w:tr>
      <w:tr w:rsidR="00966DDA" w:rsidRPr="00E10A93" w14:paraId="4D90D30B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2F8849F1" w14:textId="530CE129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Sephora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A897845" w14:textId="0021408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27%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5118E67" w14:textId="439017FF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24%</w:t>
            </w:r>
          </w:p>
        </w:tc>
      </w:tr>
      <w:tr w:rsidR="00966DDA" w:rsidRPr="00E10A93" w14:paraId="2B721C84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47FD2DBA" w14:textId="3026B49E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Walmart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6D02584" w14:textId="16B4787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2E835A" w14:textId="09F57658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13%</w:t>
            </w:r>
          </w:p>
        </w:tc>
      </w:tr>
      <w:tr w:rsidR="00966DDA" w:rsidRPr="00E10A93" w14:paraId="13BEB15C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53BCC181" w14:textId="57EBD941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Target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B584BA2" w14:textId="247D7041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10%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1B05E9" w14:textId="28C9C63E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9%</w:t>
            </w:r>
          </w:p>
        </w:tc>
      </w:tr>
      <w:tr w:rsidR="00966DDA" w:rsidRPr="00E10A93" w14:paraId="2F63768B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4A52885A" w14:textId="0DFA73E0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MAC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B45B012" w14:textId="7B48305A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3%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809867" w14:textId="5FC6FBCF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4%</w:t>
            </w:r>
          </w:p>
        </w:tc>
      </w:tr>
      <w:tr w:rsidR="00966DDA" w:rsidRPr="00E10A93" w14:paraId="373B8DF8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1EFA15D1" w14:textId="5C3C030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Walgreens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7B23B77B" w14:textId="1B73EEB3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3%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442F19B" w14:textId="6FB7126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3%</w:t>
            </w:r>
          </w:p>
        </w:tc>
      </w:tr>
      <w:tr w:rsidR="00966DDA" w:rsidRPr="00E10A93" w14:paraId="467A7AAF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15A6D79D" w14:textId="054C4B2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CVS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CAA568F" w14:textId="49990233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74A212" w14:textId="5D491FCD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3%</w:t>
            </w:r>
          </w:p>
        </w:tc>
      </w:tr>
      <w:tr w:rsidR="00966DDA" w:rsidRPr="00E10A93" w14:paraId="48524194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63C165DC" w14:textId="5AEAFDF0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Macy’s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D6DA468" w14:textId="0DF628B6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B0ACC73" w14:textId="5955F26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2%</w:t>
            </w:r>
          </w:p>
        </w:tc>
      </w:tr>
      <w:tr w:rsidR="00966DDA" w:rsidRPr="00E10A93" w14:paraId="6E265DD9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14:paraId="16AAA788" w14:textId="041CCEEF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Bath &amp; Body Works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BE9BAF0" w14:textId="37847ADA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3FDDA2" w14:textId="51407D8E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1%</w:t>
            </w:r>
          </w:p>
        </w:tc>
      </w:tr>
      <w:tr w:rsidR="00966DDA" w:rsidRPr="00E10A93" w14:paraId="7E2665E8" w14:textId="77777777" w:rsidTr="00966DDA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2250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8" w:space="0" w:color="auto"/>
            </w:tcBorders>
          </w:tcPr>
          <w:p w14:paraId="50EB5168" w14:textId="603B6C22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Sally Beauty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E9EDB1F" w14:textId="7069C187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1%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C03E65" w14:textId="321D9644" w:rsidR="00966DDA" w:rsidRPr="00E10A93" w:rsidRDefault="00966DDA" w:rsidP="00966DDA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Verdana" w:eastAsia="Times New Roman" w:hAnsi="Verdana"/>
                <w:sz w:val="20"/>
                <w:szCs w:val="20"/>
              </w:rPr>
            </w:pPr>
            <w:r w:rsidRPr="00E10A93">
              <w:rPr>
                <w:sz w:val="20"/>
                <w:szCs w:val="20"/>
              </w:rPr>
              <w:t>1%</w:t>
            </w:r>
          </w:p>
        </w:tc>
      </w:tr>
    </w:tbl>
    <w:p w14:paraId="22205E7C" w14:textId="4626E009" w:rsidR="00966DDA" w:rsidRPr="00E10A93" w:rsidRDefault="00E10A93" w:rsidP="00E10A93">
      <w:pPr>
        <w:tabs>
          <w:tab w:val="left" w:pos="2070"/>
        </w:tabs>
        <w:spacing w:after="0" w:line="240" w:lineRule="auto"/>
      </w:pPr>
      <w:r w:rsidRPr="00E10A93">
        <w:rPr>
          <w:rFonts w:ascii="Verdana" w:hAnsi="Verdana"/>
          <w:sz w:val="16"/>
          <w:szCs w:val="16"/>
        </w:rPr>
        <w:tab/>
      </w:r>
      <w:r w:rsidRPr="00E10A93">
        <w:rPr>
          <w:rFonts w:ascii="Verdana" w:hAnsi="Verdana"/>
          <w:sz w:val="16"/>
          <w:szCs w:val="16"/>
        </w:rPr>
        <w:t>Fung Global Retail &amp; Technology, February 2017</w:t>
      </w:r>
    </w:p>
    <w:p w14:paraId="2AC14BFB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548CA371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3266F5ED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32F550B4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0825C76F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2C60B016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14500FC4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5E798886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777770F7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3C35B056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72BAAFC7" w14:textId="5A675871" w:rsidR="00F94CE8" w:rsidRPr="00E10A93" w:rsidRDefault="00F94CE8" w:rsidP="00F94CE8">
      <w:pPr>
        <w:spacing w:after="0" w:line="240" w:lineRule="auto"/>
        <w:rPr>
          <w:rFonts w:ascii="Verdana" w:hAnsi="Verdana"/>
          <w:sz w:val="16"/>
          <w:szCs w:val="16"/>
        </w:rPr>
      </w:pPr>
      <w:r w:rsidRPr="00E10A93">
        <w:rPr>
          <w:rFonts w:ascii="Verdana" w:hAnsi="Verdana"/>
          <w:i/>
          <w:sz w:val="16"/>
        </w:rPr>
        <w:t>Sources:</w:t>
      </w:r>
      <w:r w:rsidRPr="00E10A93">
        <w:rPr>
          <w:rFonts w:ascii="Verdana" w:hAnsi="Verdana"/>
          <w:sz w:val="16"/>
        </w:rPr>
        <w:t xml:space="preserve"> </w:t>
      </w:r>
      <w:r w:rsidR="00294343" w:rsidRPr="00E10A93">
        <w:rPr>
          <w:rFonts w:ascii="Verdana" w:hAnsi="Verdana"/>
          <w:sz w:val="16"/>
          <w:szCs w:val="16"/>
        </w:rPr>
        <w:t>Professional Consultants &amp; Resources</w:t>
      </w:r>
      <w:r w:rsidRPr="00E10A93">
        <w:rPr>
          <w:rFonts w:ascii="Verdana" w:hAnsi="Verdana"/>
          <w:sz w:val="16"/>
          <w:szCs w:val="16"/>
        </w:rPr>
        <w:t xml:space="preserve"> Website, </w:t>
      </w:r>
      <w:r w:rsidR="00357E35" w:rsidRPr="00E10A93">
        <w:rPr>
          <w:rFonts w:ascii="Verdana" w:hAnsi="Verdana"/>
          <w:sz w:val="16"/>
          <w:szCs w:val="16"/>
        </w:rPr>
        <w:t>2</w:t>
      </w:r>
      <w:r w:rsidR="00306D88" w:rsidRPr="00E10A93">
        <w:rPr>
          <w:rFonts w:ascii="Verdana" w:hAnsi="Verdana"/>
          <w:sz w:val="16"/>
          <w:szCs w:val="16"/>
        </w:rPr>
        <w:t>/18</w:t>
      </w:r>
      <w:r w:rsidRPr="00E10A93">
        <w:rPr>
          <w:rFonts w:ascii="Verdana" w:hAnsi="Verdana"/>
          <w:sz w:val="16"/>
          <w:szCs w:val="16"/>
        </w:rPr>
        <w:t xml:space="preserve">; </w:t>
      </w:r>
      <w:r w:rsidR="00294343" w:rsidRPr="00E10A93">
        <w:rPr>
          <w:rFonts w:ascii="Verdana" w:hAnsi="Verdana"/>
          <w:sz w:val="16"/>
          <w:szCs w:val="16"/>
        </w:rPr>
        <w:t xml:space="preserve">Get Timely </w:t>
      </w:r>
      <w:r w:rsidRPr="00E10A93">
        <w:rPr>
          <w:rFonts w:ascii="Verdana" w:hAnsi="Verdana"/>
          <w:sz w:val="16"/>
          <w:szCs w:val="16"/>
        </w:rPr>
        <w:t xml:space="preserve">Website, </w:t>
      </w:r>
      <w:r w:rsidR="00357E35" w:rsidRPr="00E10A93">
        <w:rPr>
          <w:rFonts w:ascii="Verdana" w:hAnsi="Verdana"/>
          <w:sz w:val="16"/>
          <w:szCs w:val="16"/>
        </w:rPr>
        <w:t>2</w:t>
      </w:r>
      <w:r w:rsidR="00306D88" w:rsidRPr="00E10A93">
        <w:rPr>
          <w:rFonts w:ascii="Verdana" w:hAnsi="Verdana"/>
          <w:sz w:val="16"/>
          <w:szCs w:val="16"/>
        </w:rPr>
        <w:t>/18</w:t>
      </w:r>
      <w:r w:rsidRPr="00E10A93">
        <w:rPr>
          <w:rFonts w:ascii="Verdana" w:hAnsi="Verdana"/>
          <w:sz w:val="16"/>
          <w:szCs w:val="16"/>
        </w:rPr>
        <w:t xml:space="preserve">; </w:t>
      </w:r>
      <w:r w:rsidR="00294343" w:rsidRPr="00E10A93">
        <w:rPr>
          <w:rFonts w:ascii="Verdana" w:hAnsi="Verdana"/>
          <w:i/>
          <w:sz w:val="16"/>
          <w:szCs w:val="16"/>
        </w:rPr>
        <w:t>Modern Salon</w:t>
      </w:r>
      <w:r w:rsidRPr="00E10A93">
        <w:rPr>
          <w:rFonts w:ascii="Verdana" w:hAnsi="Verdana"/>
          <w:sz w:val="16"/>
          <w:szCs w:val="16"/>
        </w:rPr>
        <w:t xml:space="preserve"> Website</w:t>
      </w:r>
      <w:r w:rsidR="00357E35" w:rsidRPr="00E10A93">
        <w:rPr>
          <w:rFonts w:ascii="Verdana" w:hAnsi="Verdana"/>
          <w:sz w:val="16"/>
          <w:szCs w:val="16"/>
        </w:rPr>
        <w:t>, 2</w:t>
      </w:r>
      <w:r w:rsidR="00306D88" w:rsidRPr="00E10A93">
        <w:rPr>
          <w:rFonts w:ascii="Verdana" w:hAnsi="Verdana"/>
          <w:sz w:val="16"/>
          <w:szCs w:val="16"/>
        </w:rPr>
        <w:t>/18</w:t>
      </w:r>
      <w:r w:rsidR="00294343" w:rsidRPr="00E10A93">
        <w:rPr>
          <w:rFonts w:ascii="Verdana" w:hAnsi="Verdana"/>
          <w:sz w:val="16"/>
          <w:szCs w:val="16"/>
        </w:rPr>
        <w:t xml:space="preserve">; National Retail Federation Website, 2/18; Hoovers Website, 2/18; Euromonitor International Website, 2/18; Quartz Media Website, 2/18; </w:t>
      </w:r>
      <w:r w:rsidR="00294343" w:rsidRPr="00E10A93">
        <w:rPr>
          <w:rFonts w:ascii="Verdana" w:hAnsi="Verdana"/>
          <w:i/>
          <w:sz w:val="16"/>
          <w:szCs w:val="16"/>
        </w:rPr>
        <w:t>Nails</w:t>
      </w:r>
      <w:r w:rsidR="00294343" w:rsidRPr="00E10A93">
        <w:rPr>
          <w:rFonts w:ascii="Verdana" w:hAnsi="Verdana"/>
          <w:sz w:val="16"/>
          <w:szCs w:val="16"/>
        </w:rPr>
        <w:t xml:space="preserve"> Website, 2/18</w:t>
      </w:r>
      <w:r w:rsidR="00E10A93" w:rsidRPr="00E10A93">
        <w:rPr>
          <w:rFonts w:ascii="Verdana" w:hAnsi="Verdana"/>
          <w:sz w:val="16"/>
          <w:szCs w:val="16"/>
        </w:rPr>
        <w:t>; Fung Global Retail &amp; Technology Website, 2/18.</w:t>
      </w:r>
    </w:p>
    <w:p w14:paraId="7EF64BA4" w14:textId="77777777" w:rsidR="00F94CE8" w:rsidRPr="00E10A93" w:rsidRDefault="00F94CE8" w:rsidP="00F94CE8">
      <w:pPr>
        <w:spacing w:after="0" w:line="240" w:lineRule="auto"/>
        <w:rPr>
          <w:rFonts w:ascii="Verdana" w:hAnsi="Verdana"/>
          <w:sz w:val="16"/>
        </w:rPr>
      </w:pPr>
    </w:p>
    <w:p w14:paraId="49C0D793" w14:textId="70F4A2BD" w:rsidR="00F94CE8" w:rsidRPr="00E10A93" w:rsidRDefault="00F94CE8" w:rsidP="00F94CE8">
      <w:pPr>
        <w:spacing w:after="0" w:line="240" w:lineRule="auto"/>
        <w:rPr>
          <w:rFonts w:ascii="Verdana" w:hAnsi="Verdana"/>
          <w:strike/>
          <w:sz w:val="16"/>
        </w:rPr>
      </w:pPr>
      <w:r w:rsidRPr="00E10A93">
        <w:rPr>
          <w:rFonts w:ascii="Verdana" w:hAnsi="Verdana"/>
          <w:i/>
          <w:sz w:val="16"/>
        </w:rPr>
        <w:t>Updated</w:t>
      </w:r>
      <w:r w:rsidR="003F0FE1" w:rsidRPr="00E10A93">
        <w:rPr>
          <w:rFonts w:ascii="Verdana" w:hAnsi="Verdana"/>
          <w:sz w:val="16"/>
        </w:rPr>
        <w:t xml:space="preserve">: </w:t>
      </w:r>
      <w:r w:rsidR="00357E35" w:rsidRPr="00E10A93">
        <w:rPr>
          <w:rFonts w:ascii="Verdana" w:hAnsi="Verdana"/>
          <w:sz w:val="16"/>
        </w:rPr>
        <w:t>Febr</w:t>
      </w:r>
      <w:r w:rsidR="00306D88" w:rsidRPr="00E10A93">
        <w:rPr>
          <w:rFonts w:ascii="Verdana" w:hAnsi="Verdana"/>
          <w:sz w:val="16"/>
        </w:rPr>
        <w:t>uary</w:t>
      </w:r>
      <w:r w:rsidRPr="00E10A93">
        <w:rPr>
          <w:rFonts w:ascii="Verdana" w:hAnsi="Verdana"/>
          <w:sz w:val="16"/>
        </w:rPr>
        <w:t xml:space="preserve"> 201</w:t>
      </w:r>
      <w:r w:rsidR="00306D88" w:rsidRPr="00E10A93">
        <w:rPr>
          <w:rFonts w:ascii="Verdana" w:hAnsi="Verdana"/>
          <w:sz w:val="16"/>
        </w:rPr>
        <w:t>8</w:t>
      </w:r>
    </w:p>
    <w:p w14:paraId="061B0C21" w14:textId="77777777" w:rsidR="00F94CE8" w:rsidRPr="00E10A93" w:rsidRDefault="00F94CE8" w:rsidP="00F94CE8">
      <w:pPr>
        <w:pStyle w:val="NoSpacing"/>
        <w:contextualSpacing/>
        <w:rPr>
          <w:sz w:val="20"/>
          <w:szCs w:val="20"/>
        </w:rPr>
      </w:pPr>
    </w:p>
    <w:p w14:paraId="56AD0CC7" w14:textId="55100F24" w:rsidR="00F94CE8" w:rsidRPr="00E10A93" w:rsidRDefault="00F94CE8" w:rsidP="00F94CE8">
      <w:pPr>
        <w:pStyle w:val="NoSpacing"/>
        <w:contextualSpacing/>
        <w:rPr>
          <w:sz w:val="16"/>
          <w:szCs w:val="16"/>
        </w:rPr>
      </w:pPr>
      <w:r w:rsidRPr="00E10A93">
        <w:rPr>
          <w:rFonts w:ascii="Verdana" w:hAnsi="Verdana"/>
          <w:sz w:val="16"/>
          <w:szCs w:val="16"/>
        </w:rPr>
        <w:t>©</w:t>
      </w:r>
      <w:r w:rsidR="00306D88" w:rsidRPr="00E10A93">
        <w:rPr>
          <w:sz w:val="16"/>
          <w:szCs w:val="16"/>
        </w:rPr>
        <w:t xml:space="preserve"> 2018</w:t>
      </w:r>
      <w:r w:rsidRPr="00E10A93">
        <w:rPr>
          <w:sz w:val="16"/>
          <w:szCs w:val="16"/>
        </w:rPr>
        <w:t xml:space="preserve"> Media Group Online, Inc. All rights reserved.</w:t>
      </w:r>
    </w:p>
    <w:p w14:paraId="47D01060" w14:textId="77777777" w:rsidR="00F94CE8" w:rsidRPr="00E10A93" w:rsidRDefault="00F94CE8" w:rsidP="00260DE9">
      <w:pPr>
        <w:pStyle w:val="NoSpacing"/>
        <w:rPr>
          <w:sz w:val="20"/>
          <w:szCs w:val="20"/>
        </w:rPr>
      </w:pPr>
    </w:p>
    <w:sectPr w:rsidR="00F94CE8" w:rsidRPr="00E10A93" w:rsidSect="00A73A64">
      <w:headerReference w:type="default" r:id="rId8"/>
      <w:footerReference w:type="default" r:id="rId9"/>
      <w:pgSz w:w="12240" w:h="15840" w:code="1"/>
      <w:pgMar w:top="2160" w:right="1440" w:bottom="1170" w:left="1440" w:header="144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ACBE9" w14:textId="77777777" w:rsidR="007E7C05" w:rsidRDefault="007E7C05" w:rsidP="00260DE9">
      <w:pPr>
        <w:spacing w:after="0" w:line="240" w:lineRule="auto"/>
      </w:pPr>
      <w:r>
        <w:separator/>
      </w:r>
    </w:p>
  </w:endnote>
  <w:endnote w:type="continuationSeparator" w:id="0">
    <w:p w14:paraId="528A699E" w14:textId="77777777" w:rsidR="007E7C05" w:rsidRDefault="007E7C05" w:rsidP="0026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B63B7" w14:textId="77777777" w:rsidR="009D42CB" w:rsidRDefault="009D42CB" w:rsidP="003E2E9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4724D9F8" wp14:editId="6BCACCF1">
          <wp:extent cx="300990" cy="300990"/>
          <wp:effectExtent l="19050" t="0" r="3810" b="0"/>
          <wp:docPr id="4" name="Picture 3" descr="MGOlogoBlack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GOlogoBlack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0942" cy="3009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8D5080" w14:textId="77777777" w:rsidR="009D42CB" w:rsidRPr="0097480E" w:rsidRDefault="009D42CB" w:rsidP="00EF6AB9">
    <w:pPr>
      <w:pStyle w:val="Footer"/>
      <w:jc w:val="center"/>
      <w:rPr>
        <w:rFonts w:ascii="Arial" w:hAnsi="Arial" w:cs="Arial"/>
        <w:sz w:val="16"/>
        <w:szCs w:val="16"/>
      </w:rPr>
    </w:pPr>
    <w:r w:rsidRPr="0097480E">
      <w:rPr>
        <w:rFonts w:ascii="Arial" w:hAnsi="Arial" w:cs="Arial"/>
        <w:sz w:val="16"/>
        <w:szCs w:val="16"/>
        <w:shd w:val="clear" w:color="auto" w:fill="FFFFFF"/>
      </w:rPr>
      <w:t>Media Group Online, Inc.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>103 Sterling Mine Rd.</w:t>
    </w:r>
    <w:r w:rsidRPr="0097480E">
      <w:rPr>
        <w:rFonts w:ascii="Arial" w:hAnsi="Arial" w:cs="Arial"/>
        <w:sz w:val="16"/>
        <w:szCs w:val="16"/>
      </w:rPr>
      <w:t xml:space="preserve">• </w:t>
    </w:r>
    <w:r w:rsidRPr="0097480E">
      <w:rPr>
        <w:rFonts w:ascii="Arial" w:hAnsi="Arial" w:cs="Arial"/>
        <w:sz w:val="16"/>
        <w:szCs w:val="16"/>
        <w:shd w:val="clear" w:color="auto" w:fill="FFFFFF"/>
      </w:rPr>
      <w:t xml:space="preserve">Sloatsburg, NY 10974 </w:t>
    </w:r>
    <w:r w:rsidRPr="0097480E">
      <w:rPr>
        <w:rFonts w:ascii="Arial" w:hAnsi="Arial" w:cs="Arial"/>
        <w:sz w:val="16"/>
        <w:szCs w:val="16"/>
      </w:rPr>
      <w:t>• Tel 866-921-1026 • Fax 845-712-5168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BF98" w14:textId="77777777" w:rsidR="007E7C05" w:rsidRDefault="007E7C05" w:rsidP="00260DE9">
      <w:pPr>
        <w:spacing w:after="0" w:line="240" w:lineRule="auto"/>
      </w:pPr>
      <w:r>
        <w:separator/>
      </w:r>
    </w:p>
  </w:footnote>
  <w:footnote w:type="continuationSeparator" w:id="0">
    <w:p w14:paraId="1EB3D6F8" w14:textId="77777777" w:rsidR="007E7C05" w:rsidRDefault="007E7C05" w:rsidP="00260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3DC73" w14:textId="77777777" w:rsidR="009D42CB" w:rsidRDefault="009D42C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BDB21C" wp14:editId="7366BB1A">
          <wp:simplePos x="0" y="0"/>
          <wp:positionH relativeFrom="column">
            <wp:posOffset>-638175</wp:posOffset>
          </wp:positionH>
          <wp:positionV relativeFrom="paragraph">
            <wp:posOffset>-771525</wp:posOffset>
          </wp:positionV>
          <wp:extent cx="5943600" cy="1192530"/>
          <wp:effectExtent l="0" t="0" r="0" b="0"/>
          <wp:wrapTight wrapText="bothSides">
            <wp:wrapPolygon edited="0">
              <wp:start x="1454" y="0"/>
              <wp:lineTo x="1038" y="690"/>
              <wp:lineTo x="69" y="4486"/>
              <wp:lineTo x="0" y="7936"/>
              <wp:lineTo x="0" y="13802"/>
              <wp:lineTo x="138" y="17252"/>
              <wp:lineTo x="1177" y="21393"/>
              <wp:lineTo x="1385" y="21393"/>
              <wp:lineTo x="2838" y="21393"/>
              <wp:lineTo x="8931" y="16907"/>
              <wp:lineTo x="21531" y="15872"/>
              <wp:lineTo x="21531" y="6901"/>
              <wp:lineTo x="19938" y="4831"/>
              <wp:lineTo x="2838" y="0"/>
              <wp:lineTo x="145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GOProfilerHeader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92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66443"/>
    <w:multiLevelType w:val="hybridMultilevel"/>
    <w:tmpl w:val="114A8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546EB9"/>
    <w:multiLevelType w:val="hybridMultilevel"/>
    <w:tmpl w:val="02A26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92093"/>
    <w:multiLevelType w:val="hybridMultilevel"/>
    <w:tmpl w:val="5ABA2E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DE9"/>
    <w:rsid w:val="000052A8"/>
    <w:rsid w:val="000500C0"/>
    <w:rsid w:val="000577D6"/>
    <w:rsid w:val="00070CAC"/>
    <w:rsid w:val="000830D7"/>
    <w:rsid w:val="000B7D5C"/>
    <w:rsid w:val="000D7C07"/>
    <w:rsid w:val="00111933"/>
    <w:rsid w:val="00167335"/>
    <w:rsid w:val="001767E5"/>
    <w:rsid w:val="001B6403"/>
    <w:rsid w:val="001D0236"/>
    <w:rsid w:val="00260DE9"/>
    <w:rsid w:val="00294343"/>
    <w:rsid w:val="002A4392"/>
    <w:rsid w:val="00306D88"/>
    <w:rsid w:val="00346B0B"/>
    <w:rsid w:val="00346F3C"/>
    <w:rsid w:val="00357E35"/>
    <w:rsid w:val="003E2E9B"/>
    <w:rsid w:val="003E67DF"/>
    <w:rsid w:val="003F0FE1"/>
    <w:rsid w:val="00422A36"/>
    <w:rsid w:val="0045212B"/>
    <w:rsid w:val="00476E47"/>
    <w:rsid w:val="00494CA5"/>
    <w:rsid w:val="0051515F"/>
    <w:rsid w:val="00526E71"/>
    <w:rsid w:val="0053329E"/>
    <w:rsid w:val="005501E8"/>
    <w:rsid w:val="00571D6A"/>
    <w:rsid w:val="00597F09"/>
    <w:rsid w:val="005B3215"/>
    <w:rsid w:val="005E38A5"/>
    <w:rsid w:val="00635FF3"/>
    <w:rsid w:val="00705970"/>
    <w:rsid w:val="007221BF"/>
    <w:rsid w:val="007257B5"/>
    <w:rsid w:val="00732B0C"/>
    <w:rsid w:val="00793BD0"/>
    <w:rsid w:val="007B6E29"/>
    <w:rsid w:val="007E7C05"/>
    <w:rsid w:val="00871276"/>
    <w:rsid w:val="0088505B"/>
    <w:rsid w:val="008B577E"/>
    <w:rsid w:val="009419F0"/>
    <w:rsid w:val="00966DDA"/>
    <w:rsid w:val="0097480E"/>
    <w:rsid w:val="00995D29"/>
    <w:rsid w:val="009A6479"/>
    <w:rsid w:val="009D42CB"/>
    <w:rsid w:val="00A031C1"/>
    <w:rsid w:val="00A2658C"/>
    <w:rsid w:val="00A73A64"/>
    <w:rsid w:val="00AA1EE8"/>
    <w:rsid w:val="00AB4068"/>
    <w:rsid w:val="00BF64BF"/>
    <w:rsid w:val="00C02EF4"/>
    <w:rsid w:val="00C1151B"/>
    <w:rsid w:val="00C12608"/>
    <w:rsid w:val="00D12146"/>
    <w:rsid w:val="00E10A93"/>
    <w:rsid w:val="00E3115F"/>
    <w:rsid w:val="00EB65A5"/>
    <w:rsid w:val="00EF6189"/>
    <w:rsid w:val="00EF6801"/>
    <w:rsid w:val="00EF6AB9"/>
    <w:rsid w:val="00EF7F15"/>
    <w:rsid w:val="00F10E54"/>
    <w:rsid w:val="00F94CE8"/>
    <w:rsid w:val="00F9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0252B"/>
  <w15:docId w15:val="{C335F392-A589-FC44-87B3-F6DEDD82C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52A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60DE9"/>
  </w:style>
  <w:style w:type="paragraph" w:styleId="Footer">
    <w:name w:val="footer"/>
    <w:basedOn w:val="Normal"/>
    <w:link w:val="FooterChar"/>
    <w:uiPriority w:val="99"/>
    <w:unhideWhenUsed/>
    <w:rsid w:val="00260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DE9"/>
  </w:style>
  <w:style w:type="paragraph" w:styleId="NoSpacing">
    <w:name w:val="No Spacing"/>
    <w:uiPriority w:val="1"/>
    <w:qFormat/>
    <w:rsid w:val="00260DE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2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E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E47"/>
    <w:pPr>
      <w:ind w:left="720"/>
      <w:contextualSpacing/>
    </w:pPr>
  </w:style>
  <w:style w:type="table" w:styleId="TableGrid">
    <w:name w:val="Table Grid"/>
    <w:basedOn w:val="TableNormal"/>
    <w:uiPriority w:val="59"/>
    <w:rsid w:val="00111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061C1-6CA6-224B-9635-EF5AC7537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Whelan</dc:creator>
  <cp:lastModifiedBy>Bob Sillick</cp:lastModifiedBy>
  <cp:revision>2</cp:revision>
  <dcterms:created xsi:type="dcterms:W3CDTF">2018-02-08T17:12:00Z</dcterms:created>
  <dcterms:modified xsi:type="dcterms:W3CDTF">2018-02-08T17:12:00Z</dcterms:modified>
</cp:coreProperties>
</file>