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49F06" w14:textId="3F521FA7" w:rsidR="00F94CE8" w:rsidRPr="005C50FD" w:rsidRDefault="00663465" w:rsidP="00F94CE8">
      <w:pPr>
        <w:pStyle w:val="NoSpacing"/>
        <w:rPr>
          <w:sz w:val="20"/>
          <w:szCs w:val="20"/>
        </w:rPr>
      </w:pPr>
      <w:r w:rsidRPr="005C50FD">
        <w:rPr>
          <w:b/>
          <w:color w:val="FF0000"/>
          <w:sz w:val="20"/>
          <w:szCs w:val="20"/>
        </w:rPr>
        <w:t>Floral Market 2018</w:t>
      </w:r>
    </w:p>
    <w:p w14:paraId="79457408" w14:textId="77777777" w:rsidR="00260DE9" w:rsidRPr="005C50FD" w:rsidRDefault="00260DE9" w:rsidP="00FA2069">
      <w:pPr>
        <w:pStyle w:val="NoSpacing"/>
        <w:contextualSpacing/>
        <w:mirrorIndents/>
        <w:rPr>
          <w:sz w:val="20"/>
          <w:szCs w:val="20"/>
        </w:rPr>
      </w:pPr>
    </w:p>
    <w:p w14:paraId="3DF58CC8" w14:textId="77777777" w:rsidR="00FA2069" w:rsidRPr="005C50FD" w:rsidRDefault="00FA2069" w:rsidP="00FA2069">
      <w:pPr>
        <w:spacing w:after="0" w:line="240" w:lineRule="auto"/>
        <w:contextualSpacing/>
        <w:mirrorIndents/>
        <w:jc w:val="center"/>
        <w:rPr>
          <w:b/>
          <w:color w:val="0070C0"/>
          <w:sz w:val="20"/>
          <w:szCs w:val="20"/>
        </w:rPr>
      </w:pPr>
      <w:r w:rsidRPr="005C50FD">
        <w:rPr>
          <w:b/>
          <w:color w:val="0070C0"/>
          <w:sz w:val="20"/>
          <w:szCs w:val="20"/>
        </w:rPr>
        <w:t>Some Blooming, Some Wilting</w:t>
      </w:r>
    </w:p>
    <w:p w14:paraId="1026BC23" w14:textId="77777777" w:rsidR="00FA2069" w:rsidRPr="005C50FD" w:rsidRDefault="00FA2069" w:rsidP="00FA2069">
      <w:pPr>
        <w:spacing w:after="0" w:line="240" w:lineRule="auto"/>
        <w:contextualSpacing/>
        <w:mirrorIndents/>
        <w:rPr>
          <w:sz w:val="20"/>
          <w:szCs w:val="20"/>
        </w:rPr>
      </w:pPr>
    </w:p>
    <w:p w14:paraId="620A107C" w14:textId="1B3E8A15" w:rsidR="00FA2069" w:rsidRPr="005C50FD" w:rsidRDefault="00FA2069" w:rsidP="00FA2069">
      <w:pPr>
        <w:pStyle w:val="ListParagraph"/>
        <w:numPr>
          <w:ilvl w:val="0"/>
          <w:numId w:val="1"/>
        </w:numPr>
        <w:spacing w:after="0" w:line="240" w:lineRule="auto"/>
        <w:mirrorIndents/>
        <w:rPr>
          <w:sz w:val="20"/>
          <w:szCs w:val="20"/>
        </w:rPr>
      </w:pPr>
      <w:r w:rsidRPr="005C50FD">
        <w:rPr>
          <w:sz w:val="20"/>
          <w:szCs w:val="20"/>
        </w:rPr>
        <w:t>According to the US Bureau of Economic Analysis (BEA), US consumers spent $35.173 billion for “flowers, seeds and potted plants” during 2017, a 6.0% increase from 2016’s total of $33.179 billion.</w:t>
      </w:r>
    </w:p>
    <w:p w14:paraId="79D4E2EA" w14:textId="77777777" w:rsidR="00FA2069" w:rsidRPr="005C50FD" w:rsidRDefault="00FA2069" w:rsidP="00FA2069">
      <w:pPr>
        <w:spacing w:after="0" w:line="240" w:lineRule="auto"/>
        <w:contextualSpacing/>
        <w:mirrorIndents/>
        <w:rPr>
          <w:sz w:val="20"/>
          <w:szCs w:val="20"/>
        </w:rPr>
      </w:pPr>
    </w:p>
    <w:p w14:paraId="0F4CE594" w14:textId="5B1176FD" w:rsidR="00FA2069" w:rsidRPr="005C50FD" w:rsidRDefault="00FA2069" w:rsidP="00FA2069">
      <w:pPr>
        <w:pStyle w:val="ListParagraph"/>
        <w:numPr>
          <w:ilvl w:val="0"/>
          <w:numId w:val="1"/>
        </w:numPr>
        <w:spacing w:after="0" w:line="240" w:lineRule="auto"/>
        <w:mirrorIndents/>
        <w:rPr>
          <w:sz w:val="20"/>
          <w:szCs w:val="20"/>
        </w:rPr>
      </w:pPr>
      <w:r w:rsidRPr="005C50FD">
        <w:rPr>
          <w:sz w:val="20"/>
          <w:szCs w:val="20"/>
        </w:rPr>
        <w:t>The seasonally adjusted annual rate (SAAR) decreased during the first 3 quarters of 2018, compared to 2017’s first 3 quarters, or -1.3%, Q1; -5.4%, Q2; and -5.4%, Q3.</w:t>
      </w:r>
    </w:p>
    <w:p w14:paraId="4611B7C9" w14:textId="77777777" w:rsidR="00FA2069" w:rsidRPr="005C50FD" w:rsidRDefault="00FA2069" w:rsidP="00FA2069">
      <w:pPr>
        <w:spacing w:after="0" w:line="240" w:lineRule="auto"/>
        <w:contextualSpacing/>
        <w:mirrorIndents/>
        <w:rPr>
          <w:sz w:val="20"/>
          <w:szCs w:val="20"/>
        </w:rPr>
      </w:pPr>
    </w:p>
    <w:p w14:paraId="794D6B3B" w14:textId="599A2C5F" w:rsidR="00FA2069" w:rsidRPr="005C50FD" w:rsidRDefault="00FA2069" w:rsidP="00FA2069">
      <w:pPr>
        <w:pStyle w:val="ListParagraph"/>
        <w:numPr>
          <w:ilvl w:val="0"/>
          <w:numId w:val="1"/>
        </w:numPr>
        <w:spacing w:after="0" w:line="240" w:lineRule="auto"/>
        <w:mirrorIndents/>
        <w:rPr>
          <w:sz w:val="20"/>
          <w:szCs w:val="20"/>
        </w:rPr>
      </w:pPr>
      <w:r w:rsidRPr="005C50FD">
        <w:rPr>
          <w:sz w:val="20"/>
          <w:szCs w:val="20"/>
        </w:rPr>
        <w:t>Florists benefited from the overall increase for 2017, with total sales of $6.836 billion, a 4.5% increase from 2016’s $6.540 billion; however, florists haven’t performed as well during the first 9 months of 2018, compared to 2017.</w:t>
      </w:r>
    </w:p>
    <w:p w14:paraId="79BAF87E" w14:textId="77777777" w:rsidR="00FA2069" w:rsidRPr="005C50FD" w:rsidRDefault="00FA2069" w:rsidP="00FA2069">
      <w:pPr>
        <w:spacing w:after="0" w:line="240" w:lineRule="auto"/>
        <w:contextualSpacing/>
        <w:mirrorIndents/>
        <w:rPr>
          <w:sz w:val="20"/>
          <w:szCs w:val="20"/>
        </w:rPr>
      </w:pPr>
    </w:p>
    <w:p w14:paraId="1FBD363F" w14:textId="4C28D8D3" w:rsidR="00FA2069" w:rsidRPr="005C50FD" w:rsidRDefault="00FA2069" w:rsidP="00FA2069">
      <w:pPr>
        <w:pStyle w:val="Header"/>
        <w:contextualSpacing/>
        <w:jc w:val="center"/>
        <w:rPr>
          <w:rFonts w:ascii="Verdana" w:hAnsi="Verdana"/>
          <w:b/>
          <w:sz w:val="20"/>
          <w:szCs w:val="20"/>
        </w:rPr>
      </w:pPr>
      <w:r w:rsidRPr="005C50FD">
        <w:rPr>
          <w:rFonts w:ascii="Verdana" w:hAnsi="Verdana"/>
          <w:b/>
          <w:sz w:val="20"/>
          <w:szCs w:val="20"/>
        </w:rPr>
        <w:t>Total Monthly Sales at US Florists, 2018 vs. 2017</w:t>
      </w:r>
    </w:p>
    <w:tbl>
      <w:tblPr>
        <w:tblW w:w="8655" w:type="dxa"/>
        <w:jc w:val="center"/>
        <w:tblBorders>
          <w:left w:val="single" w:sz="8" w:space="0" w:color="000000"/>
          <w:right w:val="single" w:sz="8" w:space="0" w:color="000000"/>
        </w:tblBorders>
        <w:tblLayout w:type="fixed"/>
        <w:tblLook w:val="0000" w:firstRow="0" w:lastRow="0" w:firstColumn="0" w:lastColumn="0" w:noHBand="0" w:noVBand="0"/>
      </w:tblPr>
      <w:tblGrid>
        <w:gridCol w:w="1350"/>
        <w:gridCol w:w="992"/>
        <w:gridCol w:w="992"/>
        <w:gridCol w:w="992"/>
        <w:gridCol w:w="1359"/>
        <w:gridCol w:w="990"/>
        <w:gridCol w:w="990"/>
        <w:gridCol w:w="990"/>
      </w:tblGrid>
      <w:tr w:rsidR="005A0A81" w:rsidRPr="005C50FD" w14:paraId="5C04C15B" w14:textId="77777777" w:rsidTr="00604026">
        <w:trPr>
          <w:trHeight w:val="243"/>
          <w:jc w:val="center"/>
        </w:trPr>
        <w:tc>
          <w:tcPr>
            <w:tcW w:w="1350" w:type="dxa"/>
            <w:tcBorders>
              <w:top w:val="single" w:sz="12" w:space="0" w:color="000000"/>
              <w:left w:val="single" w:sz="12" w:space="0" w:color="000000"/>
              <w:bottom w:val="single" w:sz="18" w:space="0" w:color="000000"/>
              <w:right w:val="single" w:sz="12" w:space="0" w:color="000000"/>
            </w:tcBorders>
            <w:vAlign w:val="center"/>
          </w:tcPr>
          <w:p w14:paraId="38D6C8CF" w14:textId="0AB789B9" w:rsidR="005A0A81" w:rsidRPr="005C50FD" w:rsidRDefault="005A0A81" w:rsidP="00604026">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5C50FD">
              <w:rPr>
                <w:rFonts w:ascii="Verdana" w:eastAsia="Times New Roman" w:hAnsi="Verdana"/>
                <w:sz w:val="20"/>
                <w:szCs w:val="20"/>
              </w:rPr>
              <w:t>Month</w:t>
            </w:r>
          </w:p>
        </w:tc>
        <w:tc>
          <w:tcPr>
            <w:tcW w:w="992" w:type="dxa"/>
            <w:tcBorders>
              <w:top w:val="single" w:sz="12" w:space="0" w:color="000000"/>
              <w:left w:val="single" w:sz="12" w:space="0" w:color="000000"/>
              <w:bottom w:val="single" w:sz="18" w:space="0" w:color="000000"/>
              <w:right w:val="single" w:sz="8" w:space="0" w:color="000000"/>
            </w:tcBorders>
            <w:vAlign w:val="center"/>
          </w:tcPr>
          <w:p w14:paraId="0BA00706" w14:textId="657CFB68" w:rsidR="005A0A81" w:rsidRPr="005C50FD" w:rsidRDefault="005A0A81" w:rsidP="00604026">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5C50FD">
              <w:rPr>
                <w:rFonts w:ascii="Verdana" w:eastAsia="Times New Roman" w:hAnsi="Verdana"/>
                <w:sz w:val="20"/>
                <w:szCs w:val="20"/>
              </w:rPr>
              <w:t>2018</w:t>
            </w:r>
          </w:p>
        </w:tc>
        <w:tc>
          <w:tcPr>
            <w:tcW w:w="992" w:type="dxa"/>
            <w:tcBorders>
              <w:top w:val="single" w:sz="12" w:space="0" w:color="000000"/>
              <w:left w:val="single" w:sz="8" w:space="0" w:color="000000"/>
              <w:bottom w:val="single" w:sz="18" w:space="0" w:color="000000"/>
              <w:right w:val="single" w:sz="8" w:space="0" w:color="000000"/>
            </w:tcBorders>
            <w:vAlign w:val="center"/>
          </w:tcPr>
          <w:p w14:paraId="26D9ABC0" w14:textId="26999DC2" w:rsidR="005A0A81" w:rsidRPr="005C50FD" w:rsidRDefault="005A0A81" w:rsidP="00604026">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5C50FD">
              <w:rPr>
                <w:rFonts w:ascii="Verdana" w:eastAsia="Times New Roman" w:hAnsi="Verdana"/>
                <w:sz w:val="20"/>
                <w:szCs w:val="20"/>
              </w:rPr>
              <w:t>2017</w:t>
            </w:r>
          </w:p>
        </w:tc>
        <w:tc>
          <w:tcPr>
            <w:tcW w:w="992" w:type="dxa"/>
            <w:tcBorders>
              <w:top w:val="single" w:sz="12" w:space="0" w:color="000000"/>
              <w:left w:val="single" w:sz="8" w:space="0" w:color="000000"/>
              <w:bottom w:val="single" w:sz="18" w:space="0" w:color="000000"/>
              <w:right w:val="single" w:sz="18" w:space="0" w:color="auto"/>
            </w:tcBorders>
            <w:vAlign w:val="center"/>
          </w:tcPr>
          <w:p w14:paraId="22E27056" w14:textId="4734D0D8" w:rsidR="005A0A81" w:rsidRPr="005C50FD" w:rsidRDefault="005A0A81" w:rsidP="00604026">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5C50FD">
              <w:rPr>
                <w:rFonts w:ascii="Verdana" w:eastAsia="Times New Roman" w:hAnsi="Verdana"/>
                <w:sz w:val="20"/>
                <w:szCs w:val="20"/>
              </w:rPr>
              <w:t>% Change</w:t>
            </w:r>
          </w:p>
        </w:tc>
        <w:tc>
          <w:tcPr>
            <w:tcW w:w="1359" w:type="dxa"/>
            <w:tcBorders>
              <w:top w:val="single" w:sz="12" w:space="0" w:color="000000"/>
              <w:left w:val="single" w:sz="18" w:space="0" w:color="auto"/>
              <w:bottom w:val="single" w:sz="18" w:space="0" w:color="000000"/>
              <w:right w:val="single" w:sz="12" w:space="0" w:color="000000"/>
            </w:tcBorders>
            <w:vAlign w:val="center"/>
          </w:tcPr>
          <w:p w14:paraId="63FC637D" w14:textId="363DC124" w:rsidR="005A0A81" w:rsidRPr="005C50FD" w:rsidRDefault="005A0A81" w:rsidP="00604026">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5C50FD">
              <w:rPr>
                <w:rFonts w:ascii="Verdana" w:eastAsia="Times New Roman" w:hAnsi="Verdana"/>
                <w:sz w:val="20"/>
                <w:szCs w:val="20"/>
              </w:rPr>
              <w:t>Month</w:t>
            </w:r>
          </w:p>
        </w:tc>
        <w:tc>
          <w:tcPr>
            <w:tcW w:w="990" w:type="dxa"/>
            <w:tcBorders>
              <w:top w:val="single" w:sz="12" w:space="0" w:color="000000"/>
              <w:left w:val="single" w:sz="12" w:space="0" w:color="000000"/>
              <w:bottom w:val="single" w:sz="18" w:space="0" w:color="000000"/>
              <w:right w:val="single" w:sz="8" w:space="0" w:color="000000"/>
            </w:tcBorders>
            <w:vAlign w:val="center"/>
          </w:tcPr>
          <w:p w14:paraId="0AB5F6C2" w14:textId="5ED2C889" w:rsidR="005A0A81" w:rsidRPr="005C50FD" w:rsidRDefault="005A0A81" w:rsidP="00604026">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5C50FD">
              <w:rPr>
                <w:rFonts w:ascii="Verdana" w:eastAsia="Times New Roman" w:hAnsi="Verdana"/>
                <w:sz w:val="20"/>
                <w:szCs w:val="20"/>
              </w:rPr>
              <w:t>2018</w:t>
            </w:r>
          </w:p>
        </w:tc>
        <w:tc>
          <w:tcPr>
            <w:tcW w:w="990" w:type="dxa"/>
            <w:tcBorders>
              <w:top w:val="single" w:sz="12" w:space="0" w:color="000000"/>
              <w:left w:val="single" w:sz="8" w:space="0" w:color="000000"/>
              <w:bottom w:val="single" w:sz="18" w:space="0" w:color="000000"/>
              <w:right w:val="single" w:sz="8" w:space="0" w:color="000000"/>
            </w:tcBorders>
            <w:vAlign w:val="center"/>
          </w:tcPr>
          <w:p w14:paraId="2076E1A2" w14:textId="57641931" w:rsidR="005A0A81" w:rsidRPr="005C50FD" w:rsidRDefault="005A0A81" w:rsidP="00604026">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5C50FD">
              <w:rPr>
                <w:rFonts w:ascii="Verdana" w:eastAsia="Times New Roman" w:hAnsi="Verdana"/>
                <w:sz w:val="20"/>
                <w:szCs w:val="20"/>
              </w:rPr>
              <w:t>2017</w:t>
            </w:r>
          </w:p>
        </w:tc>
        <w:tc>
          <w:tcPr>
            <w:tcW w:w="990" w:type="dxa"/>
            <w:tcBorders>
              <w:top w:val="single" w:sz="12" w:space="0" w:color="000000"/>
              <w:left w:val="single" w:sz="8" w:space="0" w:color="000000"/>
              <w:bottom w:val="single" w:sz="18" w:space="0" w:color="000000"/>
              <w:right w:val="single" w:sz="12" w:space="0" w:color="000000"/>
            </w:tcBorders>
            <w:vAlign w:val="center"/>
          </w:tcPr>
          <w:p w14:paraId="6481A0DA" w14:textId="36275C72" w:rsidR="005A0A81" w:rsidRPr="005C50FD" w:rsidRDefault="005A0A81" w:rsidP="00604026">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5C50FD">
              <w:rPr>
                <w:rFonts w:ascii="Verdana" w:eastAsia="Times New Roman" w:hAnsi="Verdana"/>
                <w:sz w:val="20"/>
                <w:szCs w:val="20"/>
              </w:rPr>
              <w:t>% Change</w:t>
            </w:r>
          </w:p>
        </w:tc>
      </w:tr>
      <w:tr w:rsidR="005A0A81" w:rsidRPr="005C50FD" w14:paraId="52F824F8" w14:textId="77777777" w:rsidTr="00604026">
        <w:trPr>
          <w:trHeight w:val="243"/>
          <w:jc w:val="center"/>
        </w:trPr>
        <w:tc>
          <w:tcPr>
            <w:tcW w:w="1350" w:type="dxa"/>
            <w:tcBorders>
              <w:top w:val="single" w:sz="18" w:space="0" w:color="000000"/>
              <w:left w:val="single" w:sz="12" w:space="0" w:color="000000"/>
              <w:bottom w:val="single" w:sz="4" w:space="0" w:color="auto"/>
              <w:right w:val="single" w:sz="12" w:space="0" w:color="000000"/>
            </w:tcBorders>
            <w:vAlign w:val="center"/>
          </w:tcPr>
          <w:p w14:paraId="3D7AAB0F" w14:textId="5E423698" w:rsidR="005A0A81" w:rsidRPr="005C50FD" w:rsidRDefault="005A0A81" w:rsidP="005A0A81">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January</w:t>
            </w:r>
          </w:p>
        </w:tc>
        <w:tc>
          <w:tcPr>
            <w:tcW w:w="992" w:type="dxa"/>
            <w:tcBorders>
              <w:top w:val="single" w:sz="18" w:space="0" w:color="000000"/>
              <w:left w:val="single" w:sz="12" w:space="0" w:color="000000"/>
              <w:bottom w:val="single" w:sz="4" w:space="0" w:color="auto"/>
              <w:right w:val="single" w:sz="8" w:space="0" w:color="000000"/>
            </w:tcBorders>
            <w:vAlign w:val="center"/>
          </w:tcPr>
          <w:p w14:paraId="7246D695" w14:textId="7A21B243" w:rsidR="005A0A81" w:rsidRPr="005C50FD" w:rsidRDefault="005A0A81" w:rsidP="0060402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$545 M</w:t>
            </w:r>
          </w:p>
        </w:tc>
        <w:tc>
          <w:tcPr>
            <w:tcW w:w="992" w:type="dxa"/>
            <w:tcBorders>
              <w:top w:val="single" w:sz="18" w:space="0" w:color="000000"/>
              <w:left w:val="single" w:sz="8" w:space="0" w:color="000000"/>
              <w:bottom w:val="single" w:sz="4" w:space="0" w:color="auto"/>
              <w:right w:val="single" w:sz="8" w:space="0" w:color="000000"/>
            </w:tcBorders>
            <w:vAlign w:val="center"/>
          </w:tcPr>
          <w:p w14:paraId="6EE30575" w14:textId="52D4630C" w:rsidR="005A0A81" w:rsidRPr="005C50FD" w:rsidRDefault="005A0A81" w:rsidP="0060402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$580 M</w:t>
            </w:r>
          </w:p>
        </w:tc>
        <w:tc>
          <w:tcPr>
            <w:tcW w:w="992" w:type="dxa"/>
            <w:tcBorders>
              <w:top w:val="single" w:sz="18" w:space="0" w:color="000000"/>
              <w:left w:val="single" w:sz="8" w:space="0" w:color="000000"/>
              <w:bottom w:val="single" w:sz="4" w:space="0" w:color="auto"/>
              <w:right w:val="single" w:sz="18" w:space="0" w:color="auto"/>
            </w:tcBorders>
            <w:vAlign w:val="center"/>
          </w:tcPr>
          <w:p w14:paraId="2601209D" w14:textId="25E1F650" w:rsidR="005A0A81" w:rsidRPr="005C50FD" w:rsidRDefault="005A0A81" w:rsidP="0060402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-6.0%</w:t>
            </w:r>
          </w:p>
        </w:tc>
        <w:tc>
          <w:tcPr>
            <w:tcW w:w="1359" w:type="dxa"/>
            <w:tcBorders>
              <w:top w:val="single" w:sz="18" w:space="0" w:color="000000"/>
              <w:left w:val="single" w:sz="18" w:space="0" w:color="auto"/>
              <w:bottom w:val="single" w:sz="4" w:space="0" w:color="000000"/>
              <w:right w:val="single" w:sz="12" w:space="0" w:color="000000"/>
            </w:tcBorders>
            <w:vAlign w:val="center"/>
          </w:tcPr>
          <w:p w14:paraId="144CE96D" w14:textId="5670AABD" w:rsidR="005A0A81" w:rsidRPr="005C50FD" w:rsidRDefault="005A0A81" w:rsidP="005A0A81">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June</w:t>
            </w:r>
          </w:p>
        </w:tc>
        <w:tc>
          <w:tcPr>
            <w:tcW w:w="990" w:type="dxa"/>
            <w:tcBorders>
              <w:top w:val="single" w:sz="18" w:space="0" w:color="000000"/>
              <w:left w:val="single" w:sz="12" w:space="0" w:color="000000"/>
              <w:bottom w:val="single" w:sz="4" w:space="0" w:color="000000"/>
              <w:right w:val="single" w:sz="8" w:space="0" w:color="000000"/>
            </w:tcBorders>
            <w:vAlign w:val="center"/>
          </w:tcPr>
          <w:p w14:paraId="74438E64" w14:textId="3965AA20" w:rsidR="005A0A81" w:rsidRPr="005C50FD" w:rsidRDefault="005A0A81" w:rsidP="0060402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$395 M</w:t>
            </w:r>
          </w:p>
        </w:tc>
        <w:tc>
          <w:tcPr>
            <w:tcW w:w="990" w:type="dxa"/>
            <w:tcBorders>
              <w:top w:val="single" w:sz="18" w:space="0" w:color="000000"/>
              <w:left w:val="single" w:sz="8" w:space="0" w:color="000000"/>
              <w:bottom w:val="single" w:sz="4" w:space="0" w:color="000000"/>
              <w:right w:val="single" w:sz="8" w:space="0" w:color="000000"/>
            </w:tcBorders>
            <w:vAlign w:val="center"/>
          </w:tcPr>
          <w:p w14:paraId="19DAAC5B" w14:textId="788BF846" w:rsidR="005A0A81" w:rsidRPr="005C50FD" w:rsidRDefault="005A0A81" w:rsidP="0060402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$579 M</w:t>
            </w:r>
          </w:p>
        </w:tc>
        <w:tc>
          <w:tcPr>
            <w:tcW w:w="990" w:type="dxa"/>
            <w:tcBorders>
              <w:top w:val="single" w:sz="18" w:space="0" w:color="000000"/>
              <w:left w:val="single" w:sz="8" w:space="0" w:color="000000"/>
              <w:bottom w:val="single" w:sz="4" w:space="0" w:color="000000"/>
              <w:right w:val="single" w:sz="12" w:space="0" w:color="000000"/>
            </w:tcBorders>
            <w:vAlign w:val="center"/>
          </w:tcPr>
          <w:p w14:paraId="65A3AB86" w14:textId="7AFB9A51" w:rsidR="005A0A81" w:rsidRPr="005C50FD" w:rsidRDefault="005A0A81" w:rsidP="0060402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-31.8%</w:t>
            </w:r>
          </w:p>
        </w:tc>
      </w:tr>
      <w:tr w:rsidR="005A0A81" w:rsidRPr="005C50FD" w14:paraId="515BF2D9" w14:textId="77777777" w:rsidTr="00604026">
        <w:trPr>
          <w:trHeight w:val="243"/>
          <w:jc w:val="center"/>
        </w:trPr>
        <w:tc>
          <w:tcPr>
            <w:tcW w:w="1350" w:type="dxa"/>
            <w:tcBorders>
              <w:top w:val="single" w:sz="4" w:space="0" w:color="auto"/>
              <w:left w:val="single" w:sz="12" w:space="0" w:color="000000"/>
              <w:bottom w:val="single" w:sz="4" w:space="0" w:color="000000"/>
              <w:right w:val="single" w:sz="12" w:space="0" w:color="000000"/>
            </w:tcBorders>
            <w:vAlign w:val="center"/>
          </w:tcPr>
          <w:p w14:paraId="14AF3083" w14:textId="603FD126" w:rsidR="005A0A81" w:rsidRPr="005C50FD" w:rsidRDefault="005A0A81" w:rsidP="005A0A81">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February</w:t>
            </w:r>
          </w:p>
        </w:tc>
        <w:tc>
          <w:tcPr>
            <w:tcW w:w="992" w:type="dxa"/>
            <w:tcBorders>
              <w:top w:val="single" w:sz="4" w:space="0" w:color="auto"/>
              <w:left w:val="single" w:sz="12" w:space="0" w:color="000000"/>
              <w:bottom w:val="single" w:sz="4" w:space="0" w:color="000000"/>
              <w:right w:val="single" w:sz="8" w:space="0" w:color="000000"/>
            </w:tcBorders>
            <w:vAlign w:val="center"/>
          </w:tcPr>
          <w:p w14:paraId="6079CCDF" w14:textId="200693B5" w:rsidR="005A0A81" w:rsidRPr="005C50FD" w:rsidRDefault="005A0A81" w:rsidP="0060402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$538 M</w:t>
            </w:r>
          </w:p>
        </w:tc>
        <w:tc>
          <w:tcPr>
            <w:tcW w:w="992" w:type="dxa"/>
            <w:tcBorders>
              <w:top w:val="single" w:sz="4" w:space="0" w:color="auto"/>
              <w:left w:val="single" w:sz="8" w:space="0" w:color="000000"/>
              <w:bottom w:val="single" w:sz="4" w:space="0" w:color="000000"/>
              <w:right w:val="single" w:sz="8" w:space="0" w:color="000000"/>
            </w:tcBorders>
            <w:vAlign w:val="center"/>
          </w:tcPr>
          <w:p w14:paraId="61D29859" w14:textId="2AD89B36" w:rsidR="005A0A81" w:rsidRPr="005C50FD" w:rsidRDefault="005A0A81" w:rsidP="0060402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$572 M</w:t>
            </w:r>
          </w:p>
        </w:tc>
        <w:tc>
          <w:tcPr>
            <w:tcW w:w="992" w:type="dxa"/>
            <w:tcBorders>
              <w:top w:val="single" w:sz="4" w:space="0" w:color="auto"/>
              <w:left w:val="single" w:sz="8" w:space="0" w:color="000000"/>
              <w:bottom w:val="single" w:sz="4" w:space="0" w:color="000000"/>
              <w:right w:val="single" w:sz="18" w:space="0" w:color="auto"/>
            </w:tcBorders>
            <w:vAlign w:val="center"/>
          </w:tcPr>
          <w:p w14:paraId="1FE4D314" w14:textId="096E065B" w:rsidR="005A0A81" w:rsidRPr="005C50FD" w:rsidRDefault="005A0A81" w:rsidP="0060402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-5.9%</w:t>
            </w:r>
          </w:p>
        </w:tc>
        <w:tc>
          <w:tcPr>
            <w:tcW w:w="1359" w:type="dxa"/>
            <w:tcBorders>
              <w:top w:val="single" w:sz="4" w:space="0" w:color="000000"/>
              <w:left w:val="single" w:sz="18" w:space="0" w:color="auto"/>
              <w:bottom w:val="single" w:sz="4" w:space="0" w:color="000000"/>
              <w:right w:val="single" w:sz="12" w:space="0" w:color="000000"/>
            </w:tcBorders>
            <w:vAlign w:val="center"/>
          </w:tcPr>
          <w:p w14:paraId="288276AA" w14:textId="305428FD" w:rsidR="005A0A81" w:rsidRPr="005C50FD" w:rsidRDefault="005A0A81" w:rsidP="005A0A81">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July</w:t>
            </w:r>
          </w:p>
        </w:tc>
        <w:tc>
          <w:tcPr>
            <w:tcW w:w="990" w:type="dxa"/>
            <w:tcBorders>
              <w:top w:val="single" w:sz="4" w:space="0" w:color="000000"/>
              <w:left w:val="single" w:sz="12" w:space="0" w:color="000000"/>
              <w:bottom w:val="single" w:sz="4" w:space="0" w:color="000000"/>
              <w:right w:val="single" w:sz="8" w:space="0" w:color="000000"/>
            </w:tcBorders>
            <w:vAlign w:val="center"/>
          </w:tcPr>
          <w:p w14:paraId="33B19565" w14:textId="64C55079" w:rsidR="005A0A81" w:rsidRPr="005C50FD" w:rsidRDefault="005A0A81" w:rsidP="0060402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$430 M</w:t>
            </w:r>
          </w:p>
        </w:tc>
        <w:tc>
          <w:tcPr>
            <w:tcW w:w="990" w:type="dxa"/>
            <w:tcBorders>
              <w:top w:val="single" w:sz="4" w:space="0" w:color="000000"/>
              <w:left w:val="single" w:sz="8" w:space="0" w:color="000000"/>
              <w:bottom w:val="single" w:sz="4" w:space="0" w:color="000000"/>
              <w:right w:val="single" w:sz="8" w:space="0" w:color="000000"/>
            </w:tcBorders>
            <w:vAlign w:val="center"/>
          </w:tcPr>
          <w:p w14:paraId="70AD4636" w14:textId="62F9F34D" w:rsidR="005A0A81" w:rsidRPr="005C50FD" w:rsidRDefault="005A0A81" w:rsidP="0060402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$608 M</w:t>
            </w:r>
          </w:p>
        </w:tc>
        <w:tc>
          <w:tcPr>
            <w:tcW w:w="990" w:type="dxa"/>
            <w:tcBorders>
              <w:top w:val="single" w:sz="4" w:space="0" w:color="000000"/>
              <w:left w:val="single" w:sz="8" w:space="0" w:color="000000"/>
              <w:bottom w:val="single" w:sz="4" w:space="0" w:color="000000"/>
              <w:right w:val="single" w:sz="12" w:space="0" w:color="000000"/>
            </w:tcBorders>
            <w:vAlign w:val="center"/>
          </w:tcPr>
          <w:p w14:paraId="300F2DC7" w14:textId="74553DDC" w:rsidR="005A0A81" w:rsidRPr="005C50FD" w:rsidRDefault="005A0A81" w:rsidP="0060402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-29.3%</w:t>
            </w:r>
          </w:p>
        </w:tc>
      </w:tr>
      <w:tr w:rsidR="005A0A81" w:rsidRPr="005C50FD" w14:paraId="60F5E862" w14:textId="77777777" w:rsidTr="00604026">
        <w:trPr>
          <w:trHeight w:val="243"/>
          <w:jc w:val="center"/>
        </w:trPr>
        <w:tc>
          <w:tcPr>
            <w:tcW w:w="1350" w:type="dxa"/>
            <w:tcBorders>
              <w:top w:val="single" w:sz="4" w:space="0" w:color="auto"/>
              <w:left w:val="single" w:sz="12" w:space="0" w:color="000000"/>
              <w:bottom w:val="single" w:sz="4" w:space="0" w:color="000000"/>
              <w:right w:val="single" w:sz="12" w:space="0" w:color="000000"/>
            </w:tcBorders>
            <w:vAlign w:val="center"/>
          </w:tcPr>
          <w:p w14:paraId="4F805A94" w14:textId="35D2F453" w:rsidR="005A0A81" w:rsidRPr="005C50FD" w:rsidRDefault="005A0A81" w:rsidP="005A0A81">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March</w:t>
            </w:r>
          </w:p>
        </w:tc>
        <w:tc>
          <w:tcPr>
            <w:tcW w:w="992" w:type="dxa"/>
            <w:tcBorders>
              <w:top w:val="single" w:sz="4" w:space="0" w:color="auto"/>
              <w:left w:val="single" w:sz="12" w:space="0" w:color="000000"/>
              <w:bottom w:val="single" w:sz="4" w:space="0" w:color="000000"/>
              <w:right w:val="single" w:sz="8" w:space="0" w:color="000000"/>
            </w:tcBorders>
            <w:vAlign w:val="center"/>
          </w:tcPr>
          <w:p w14:paraId="3B95D73C" w14:textId="7756CBD7" w:rsidR="005A0A81" w:rsidRPr="005C50FD" w:rsidRDefault="005A0A81" w:rsidP="0060402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$428 M</w:t>
            </w:r>
          </w:p>
        </w:tc>
        <w:tc>
          <w:tcPr>
            <w:tcW w:w="992" w:type="dxa"/>
            <w:tcBorders>
              <w:top w:val="single" w:sz="4" w:space="0" w:color="auto"/>
              <w:left w:val="single" w:sz="8" w:space="0" w:color="000000"/>
              <w:bottom w:val="single" w:sz="4" w:space="0" w:color="000000"/>
              <w:right w:val="single" w:sz="8" w:space="0" w:color="000000"/>
            </w:tcBorders>
            <w:vAlign w:val="center"/>
          </w:tcPr>
          <w:p w14:paraId="073F920C" w14:textId="392206D9" w:rsidR="005A0A81" w:rsidRPr="005C50FD" w:rsidRDefault="005A0A81" w:rsidP="0060402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$587 M</w:t>
            </w:r>
          </w:p>
        </w:tc>
        <w:tc>
          <w:tcPr>
            <w:tcW w:w="992" w:type="dxa"/>
            <w:tcBorders>
              <w:top w:val="single" w:sz="4" w:space="0" w:color="auto"/>
              <w:left w:val="single" w:sz="8" w:space="0" w:color="000000"/>
              <w:bottom w:val="single" w:sz="4" w:space="0" w:color="000000"/>
              <w:right w:val="single" w:sz="18" w:space="0" w:color="auto"/>
            </w:tcBorders>
            <w:vAlign w:val="center"/>
          </w:tcPr>
          <w:p w14:paraId="0A1FC140" w14:textId="34254B07" w:rsidR="005A0A81" w:rsidRPr="005C50FD" w:rsidRDefault="005A0A81" w:rsidP="0060402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-27.1%</w:t>
            </w:r>
          </w:p>
        </w:tc>
        <w:tc>
          <w:tcPr>
            <w:tcW w:w="1359" w:type="dxa"/>
            <w:tcBorders>
              <w:top w:val="single" w:sz="4" w:space="0" w:color="000000"/>
              <w:left w:val="single" w:sz="18" w:space="0" w:color="auto"/>
              <w:bottom w:val="single" w:sz="4" w:space="0" w:color="000000"/>
              <w:right w:val="single" w:sz="12" w:space="0" w:color="000000"/>
            </w:tcBorders>
            <w:vAlign w:val="center"/>
          </w:tcPr>
          <w:p w14:paraId="7F4573C9" w14:textId="26D4BAF1" w:rsidR="005A0A81" w:rsidRPr="005C50FD" w:rsidRDefault="005A0A81" w:rsidP="005A0A81">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August</w:t>
            </w:r>
          </w:p>
        </w:tc>
        <w:tc>
          <w:tcPr>
            <w:tcW w:w="990" w:type="dxa"/>
            <w:tcBorders>
              <w:top w:val="single" w:sz="4" w:space="0" w:color="000000"/>
              <w:left w:val="single" w:sz="12" w:space="0" w:color="000000"/>
              <w:bottom w:val="single" w:sz="4" w:space="0" w:color="000000"/>
              <w:right w:val="single" w:sz="8" w:space="0" w:color="000000"/>
            </w:tcBorders>
            <w:vAlign w:val="center"/>
          </w:tcPr>
          <w:p w14:paraId="757F3A77" w14:textId="5C520CA5" w:rsidR="005A0A81" w:rsidRPr="005C50FD" w:rsidRDefault="005A0A81" w:rsidP="0060402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$439 M</w:t>
            </w:r>
          </w:p>
        </w:tc>
        <w:tc>
          <w:tcPr>
            <w:tcW w:w="990" w:type="dxa"/>
            <w:tcBorders>
              <w:top w:val="single" w:sz="4" w:space="0" w:color="000000"/>
              <w:left w:val="single" w:sz="8" w:space="0" w:color="000000"/>
              <w:bottom w:val="single" w:sz="4" w:space="0" w:color="000000"/>
              <w:right w:val="single" w:sz="8" w:space="0" w:color="000000"/>
            </w:tcBorders>
            <w:vAlign w:val="center"/>
          </w:tcPr>
          <w:p w14:paraId="30502E2D" w14:textId="6C752619" w:rsidR="005A0A81" w:rsidRPr="005C50FD" w:rsidRDefault="005A0A81" w:rsidP="0060402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$566 M</w:t>
            </w:r>
          </w:p>
        </w:tc>
        <w:tc>
          <w:tcPr>
            <w:tcW w:w="990" w:type="dxa"/>
            <w:tcBorders>
              <w:top w:val="single" w:sz="4" w:space="0" w:color="000000"/>
              <w:left w:val="single" w:sz="8" w:space="0" w:color="000000"/>
              <w:bottom w:val="single" w:sz="4" w:space="0" w:color="000000"/>
              <w:right w:val="single" w:sz="12" w:space="0" w:color="000000"/>
            </w:tcBorders>
            <w:vAlign w:val="center"/>
          </w:tcPr>
          <w:p w14:paraId="2677E76C" w14:textId="67A603A1" w:rsidR="005A0A81" w:rsidRPr="005C50FD" w:rsidRDefault="005A0A81" w:rsidP="0060402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-22.4%</w:t>
            </w:r>
          </w:p>
        </w:tc>
      </w:tr>
      <w:tr w:rsidR="005A0A81" w:rsidRPr="005C50FD" w14:paraId="59E61943" w14:textId="77777777" w:rsidTr="00604026">
        <w:trPr>
          <w:trHeight w:val="243"/>
          <w:jc w:val="center"/>
        </w:trPr>
        <w:tc>
          <w:tcPr>
            <w:tcW w:w="1350" w:type="dxa"/>
            <w:tcBorders>
              <w:top w:val="single" w:sz="4" w:space="0" w:color="auto"/>
              <w:left w:val="single" w:sz="12" w:space="0" w:color="000000"/>
              <w:bottom w:val="single" w:sz="4" w:space="0" w:color="000000"/>
              <w:right w:val="single" w:sz="12" w:space="0" w:color="000000"/>
            </w:tcBorders>
            <w:vAlign w:val="center"/>
          </w:tcPr>
          <w:p w14:paraId="54E0E2C0" w14:textId="26B95E27" w:rsidR="005A0A81" w:rsidRPr="005C50FD" w:rsidRDefault="005A0A81" w:rsidP="005A0A81">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April</w:t>
            </w:r>
          </w:p>
        </w:tc>
        <w:tc>
          <w:tcPr>
            <w:tcW w:w="992" w:type="dxa"/>
            <w:tcBorders>
              <w:top w:val="single" w:sz="4" w:space="0" w:color="auto"/>
              <w:left w:val="single" w:sz="12" w:space="0" w:color="000000"/>
              <w:bottom w:val="single" w:sz="4" w:space="0" w:color="000000"/>
              <w:right w:val="single" w:sz="8" w:space="0" w:color="000000"/>
            </w:tcBorders>
            <w:vAlign w:val="center"/>
          </w:tcPr>
          <w:p w14:paraId="7FCF9ADC" w14:textId="43D77319" w:rsidR="005A0A81" w:rsidRPr="005C50FD" w:rsidRDefault="005A0A81" w:rsidP="0060402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$492 M</w:t>
            </w:r>
          </w:p>
        </w:tc>
        <w:tc>
          <w:tcPr>
            <w:tcW w:w="992" w:type="dxa"/>
            <w:tcBorders>
              <w:top w:val="single" w:sz="4" w:space="0" w:color="auto"/>
              <w:left w:val="single" w:sz="8" w:space="0" w:color="000000"/>
              <w:bottom w:val="single" w:sz="4" w:space="0" w:color="000000"/>
              <w:right w:val="single" w:sz="8" w:space="0" w:color="000000"/>
            </w:tcBorders>
            <w:vAlign w:val="center"/>
          </w:tcPr>
          <w:p w14:paraId="25C7B3DA" w14:textId="74FB6E06" w:rsidR="005A0A81" w:rsidRPr="005C50FD" w:rsidRDefault="005A0A81" w:rsidP="0060402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$565 M</w:t>
            </w:r>
          </w:p>
        </w:tc>
        <w:tc>
          <w:tcPr>
            <w:tcW w:w="992" w:type="dxa"/>
            <w:tcBorders>
              <w:top w:val="single" w:sz="4" w:space="0" w:color="auto"/>
              <w:left w:val="single" w:sz="8" w:space="0" w:color="000000"/>
              <w:bottom w:val="single" w:sz="4" w:space="0" w:color="000000"/>
              <w:right w:val="single" w:sz="18" w:space="0" w:color="auto"/>
            </w:tcBorders>
            <w:vAlign w:val="center"/>
          </w:tcPr>
          <w:p w14:paraId="5267AFD9" w14:textId="5CC91512" w:rsidR="005A0A81" w:rsidRPr="005C50FD" w:rsidRDefault="005A0A81" w:rsidP="0060402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-12.9%</w:t>
            </w:r>
          </w:p>
        </w:tc>
        <w:tc>
          <w:tcPr>
            <w:tcW w:w="1359" w:type="dxa"/>
            <w:tcBorders>
              <w:top w:val="single" w:sz="4" w:space="0" w:color="000000"/>
              <w:left w:val="single" w:sz="18" w:space="0" w:color="auto"/>
              <w:bottom w:val="single" w:sz="4" w:space="0" w:color="000000"/>
              <w:right w:val="single" w:sz="12" w:space="0" w:color="000000"/>
            </w:tcBorders>
            <w:vAlign w:val="center"/>
          </w:tcPr>
          <w:p w14:paraId="6ED1F856" w14:textId="5B22C071" w:rsidR="005A0A81" w:rsidRPr="005C50FD" w:rsidRDefault="005A0A81" w:rsidP="005A0A81">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September</w:t>
            </w:r>
          </w:p>
        </w:tc>
        <w:tc>
          <w:tcPr>
            <w:tcW w:w="990" w:type="dxa"/>
            <w:tcBorders>
              <w:top w:val="single" w:sz="4" w:space="0" w:color="000000"/>
              <w:left w:val="single" w:sz="12" w:space="0" w:color="000000"/>
              <w:bottom w:val="single" w:sz="4" w:space="0" w:color="000000"/>
              <w:right w:val="single" w:sz="8" w:space="0" w:color="000000"/>
            </w:tcBorders>
            <w:vAlign w:val="center"/>
          </w:tcPr>
          <w:p w14:paraId="7EFB6FC1" w14:textId="202AF41E" w:rsidR="005A0A81" w:rsidRPr="005C50FD" w:rsidRDefault="005A0A81" w:rsidP="0060402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$440 M</w:t>
            </w:r>
          </w:p>
        </w:tc>
        <w:tc>
          <w:tcPr>
            <w:tcW w:w="990" w:type="dxa"/>
            <w:tcBorders>
              <w:top w:val="single" w:sz="4" w:space="0" w:color="000000"/>
              <w:left w:val="single" w:sz="8" w:space="0" w:color="000000"/>
              <w:bottom w:val="single" w:sz="4" w:space="0" w:color="000000"/>
              <w:right w:val="single" w:sz="8" w:space="0" w:color="000000"/>
            </w:tcBorders>
            <w:vAlign w:val="center"/>
          </w:tcPr>
          <w:p w14:paraId="4D10F495" w14:textId="3B41E447" w:rsidR="005A0A81" w:rsidRPr="005C50FD" w:rsidRDefault="005A0A81" w:rsidP="0060402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$577 M</w:t>
            </w:r>
          </w:p>
        </w:tc>
        <w:tc>
          <w:tcPr>
            <w:tcW w:w="990" w:type="dxa"/>
            <w:tcBorders>
              <w:top w:val="single" w:sz="4" w:space="0" w:color="000000"/>
              <w:left w:val="single" w:sz="8" w:space="0" w:color="000000"/>
              <w:bottom w:val="single" w:sz="4" w:space="0" w:color="000000"/>
              <w:right w:val="single" w:sz="12" w:space="0" w:color="000000"/>
            </w:tcBorders>
            <w:vAlign w:val="center"/>
          </w:tcPr>
          <w:p w14:paraId="0830F9A6" w14:textId="1E4A8B92" w:rsidR="005A0A81" w:rsidRPr="005C50FD" w:rsidRDefault="005A0A81" w:rsidP="0060402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-23.7%</w:t>
            </w:r>
          </w:p>
        </w:tc>
      </w:tr>
      <w:tr w:rsidR="005A0A81" w:rsidRPr="005C50FD" w14:paraId="334E4DD8" w14:textId="77777777" w:rsidTr="00604026">
        <w:trPr>
          <w:trHeight w:val="243"/>
          <w:jc w:val="center"/>
        </w:trPr>
        <w:tc>
          <w:tcPr>
            <w:tcW w:w="1350" w:type="dxa"/>
            <w:tcBorders>
              <w:top w:val="single" w:sz="4" w:space="0" w:color="000000"/>
              <w:left w:val="single" w:sz="12" w:space="0" w:color="000000"/>
              <w:bottom w:val="single" w:sz="12" w:space="0" w:color="000000"/>
              <w:right w:val="single" w:sz="12" w:space="0" w:color="000000"/>
            </w:tcBorders>
            <w:shd w:val="clear" w:color="auto" w:fill="auto"/>
            <w:vAlign w:val="center"/>
          </w:tcPr>
          <w:p w14:paraId="01BC3FDB" w14:textId="131D17E2" w:rsidR="005A0A81" w:rsidRPr="005C50FD" w:rsidRDefault="00604026" w:rsidP="005A0A81">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May</w:t>
            </w:r>
          </w:p>
        </w:tc>
        <w:tc>
          <w:tcPr>
            <w:tcW w:w="992" w:type="dxa"/>
            <w:tcBorders>
              <w:top w:val="single" w:sz="4" w:space="0" w:color="000000"/>
              <w:left w:val="single" w:sz="12" w:space="0" w:color="000000"/>
              <w:bottom w:val="single" w:sz="12" w:space="0" w:color="000000"/>
              <w:right w:val="single" w:sz="8" w:space="0" w:color="000000"/>
            </w:tcBorders>
            <w:vAlign w:val="center"/>
          </w:tcPr>
          <w:p w14:paraId="5418B001" w14:textId="74CD57D9" w:rsidR="005A0A81" w:rsidRPr="005C50FD" w:rsidRDefault="005A0A81" w:rsidP="0060402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$401 M</w:t>
            </w:r>
          </w:p>
        </w:tc>
        <w:tc>
          <w:tcPr>
            <w:tcW w:w="992" w:type="dxa"/>
            <w:tcBorders>
              <w:top w:val="single" w:sz="4" w:space="0" w:color="000000"/>
              <w:left w:val="single" w:sz="8" w:space="0" w:color="000000"/>
              <w:bottom w:val="single" w:sz="12" w:space="0" w:color="000000"/>
              <w:right w:val="single" w:sz="8" w:space="0" w:color="000000"/>
            </w:tcBorders>
            <w:vAlign w:val="center"/>
          </w:tcPr>
          <w:p w14:paraId="7679261D" w14:textId="6CB8DBC8" w:rsidR="005A0A81" w:rsidRPr="005C50FD" w:rsidRDefault="005A0A81" w:rsidP="0060402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$560 M</w:t>
            </w:r>
          </w:p>
        </w:tc>
        <w:tc>
          <w:tcPr>
            <w:tcW w:w="992" w:type="dxa"/>
            <w:tcBorders>
              <w:top w:val="single" w:sz="4" w:space="0" w:color="000000"/>
              <w:left w:val="single" w:sz="8" w:space="0" w:color="000000"/>
              <w:bottom w:val="single" w:sz="12" w:space="0" w:color="000000"/>
              <w:right w:val="single" w:sz="18" w:space="0" w:color="auto"/>
            </w:tcBorders>
            <w:shd w:val="clear" w:color="auto" w:fill="auto"/>
            <w:vAlign w:val="center"/>
          </w:tcPr>
          <w:p w14:paraId="2DEA7779" w14:textId="68AE3E7F" w:rsidR="005A0A81" w:rsidRPr="005C50FD" w:rsidRDefault="005A0A81" w:rsidP="0060402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-28.4%</w:t>
            </w:r>
          </w:p>
        </w:tc>
        <w:tc>
          <w:tcPr>
            <w:tcW w:w="1359" w:type="dxa"/>
            <w:tcBorders>
              <w:top w:val="single" w:sz="4" w:space="0" w:color="000000"/>
              <w:left w:val="single" w:sz="18" w:space="0" w:color="auto"/>
              <w:bottom w:val="single" w:sz="12" w:space="0" w:color="000000"/>
              <w:right w:val="single" w:sz="12" w:space="0" w:color="000000"/>
            </w:tcBorders>
            <w:shd w:val="clear" w:color="auto" w:fill="BFBFBF" w:themeFill="background1" w:themeFillShade="BF"/>
            <w:vAlign w:val="center"/>
          </w:tcPr>
          <w:p w14:paraId="16F6184E" w14:textId="36810EA3" w:rsidR="005A0A81" w:rsidRPr="005C50FD" w:rsidRDefault="005A0A81" w:rsidP="005A0A81">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p>
        </w:tc>
        <w:tc>
          <w:tcPr>
            <w:tcW w:w="990" w:type="dxa"/>
            <w:tcBorders>
              <w:top w:val="single" w:sz="4" w:space="0" w:color="000000"/>
              <w:left w:val="single" w:sz="12" w:space="0" w:color="000000"/>
              <w:bottom w:val="single" w:sz="12" w:space="0" w:color="000000"/>
              <w:right w:val="single" w:sz="8" w:space="0" w:color="000000"/>
            </w:tcBorders>
            <w:shd w:val="clear" w:color="auto" w:fill="BFBFBF" w:themeFill="background1" w:themeFillShade="BF"/>
          </w:tcPr>
          <w:p w14:paraId="553D94D4" w14:textId="77777777" w:rsidR="005A0A81" w:rsidRPr="005C50FD" w:rsidRDefault="005A0A81" w:rsidP="005A0A81">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p>
        </w:tc>
        <w:tc>
          <w:tcPr>
            <w:tcW w:w="990" w:type="dxa"/>
            <w:tcBorders>
              <w:top w:val="single" w:sz="4" w:space="0" w:color="000000"/>
              <w:left w:val="single" w:sz="8" w:space="0" w:color="000000"/>
              <w:bottom w:val="single" w:sz="12" w:space="0" w:color="000000"/>
              <w:right w:val="single" w:sz="8" w:space="0" w:color="000000"/>
            </w:tcBorders>
            <w:shd w:val="clear" w:color="auto" w:fill="BFBFBF" w:themeFill="background1" w:themeFillShade="BF"/>
          </w:tcPr>
          <w:p w14:paraId="436B39A2" w14:textId="0EFB2EC3" w:rsidR="005A0A81" w:rsidRPr="005C50FD" w:rsidRDefault="005A0A81" w:rsidP="005A0A81">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p>
        </w:tc>
        <w:tc>
          <w:tcPr>
            <w:tcW w:w="990" w:type="dxa"/>
            <w:tcBorders>
              <w:top w:val="single" w:sz="4" w:space="0" w:color="000000"/>
              <w:left w:val="single" w:sz="8" w:space="0" w:color="000000"/>
              <w:bottom w:val="single" w:sz="12" w:space="0" w:color="000000"/>
              <w:right w:val="single" w:sz="12" w:space="0" w:color="000000"/>
            </w:tcBorders>
            <w:shd w:val="clear" w:color="auto" w:fill="BFBFBF" w:themeFill="background1" w:themeFillShade="BF"/>
            <w:vAlign w:val="center"/>
          </w:tcPr>
          <w:p w14:paraId="7A0F2D6B" w14:textId="1E83DABD" w:rsidR="005A0A81" w:rsidRPr="005C50FD" w:rsidRDefault="005A0A81" w:rsidP="005A0A81">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p>
        </w:tc>
      </w:tr>
    </w:tbl>
    <w:p w14:paraId="569E9727" w14:textId="574F728E" w:rsidR="00FA2069" w:rsidRPr="005C50FD" w:rsidRDefault="005A0A81" w:rsidP="005A0A81">
      <w:pPr>
        <w:tabs>
          <w:tab w:val="left" w:pos="360"/>
        </w:tabs>
        <w:spacing w:after="0" w:line="240" w:lineRule="auto"/>
        <w:contextualSpacing/>
        <w:mirrorIndents/>
        <w:rPr>
          <w:sz w:val="20"/>
          <w:szCs w:val="20"/>
        </w:rPr>
      </w:pPr>
      <w:r w:rsidRPr="005C50FD">
        <w:rPr>
          <w:rFonts w:ascii="Verdana" w:hAnsi="Verdana"/>
          <w:sz w:val="16"/>
          <w:szCs w:val="16"/>
        </w:rPr>
        <w:tab/>
        <w:t>US Bureau of Economic Analysis</w:t>
      </w:r>
      <w:r w:rsidR="00FA2069" w:rsidRPr="005C50FD">
        <w:rPr>
          <w:rFonts w:ascii="Verdana" w:hAnsi="Verdana"/>
          <w:sz w:val="16"/>
          <w:szCs w:val="16"/>
        </w:rPr>
        <w:t xml:space="preserve">, </w:t>
      </w:r>
      <w:r w:rsidRPr="005C50FD">
        <w:rPr>
          <w:rFonts w:ascii="Verdana" w:hAnsi="Verdana"/>
          <w:sz w:val="16"/>
          <w:szCs w:val="16"/>
        </w:rPr>
        <w:t>October</w:t>
      </w:r>
      <w:r w:rsidR="00FA2069" w:rsidRPr="005C50FD">
        <w:rPr>
          <w:rFonts w:ascii="Verdana" w:hAnsi="Verdana"/>
          <w:sz w:val="16"/>
          <w:szCs w:val="16"/>
        </w:rPr>
        <w:t xml:space="preserve"> 201</w:t>
      </w:r>
      <w:r w:rsidRPr="005C50FD">
        <w:rPr>
          <w:rFonts w:ascii="Verdana" w:hAnsi="Verdana"/>
          <w:sz w:val="16"/>
          <w:szCs w:val="16"/>
        </w:rPr>
        <w:t>8</w:t>
      </w:r>
      <w:r w:rsidR="00FA2069" w:rsidRPr="005C50FD">
        <w:rPr>
          <w:rFonts w:ascii="Verdana" w:hAnsi="Verdana"/>
          <w:sz w:val="16"/>
          <w:szCs w:val="16"/>
        </w:rPr>
        <w:t xml:space="preserve">          </w:t>
      </w:r>
    </w:p>
    <w:p w14:paraId="7C6DC76A" w14:textId="77777777" w:rsidR="00FA2069" w:rsidRPr="005C50FD" w:rsidRDefault="00FA2069" w:rsidP="00FA2069">
      <w:pPr>
        <w:spacing w:after="0" w:line="240" w:lineRule="auto"/>
        <w:contextualSpacing/>
        <w:mirrorIndents/>
        <w:rPr>
          <w:sz w:val="20"/>
          <w:szCs w:val="20"/>
        </w:rPr>
      </w:pPr>
    </w:p>
    <w:p w14:paraId="390C3846" w14:textId="1644593B" w:rsidR="00FA2069" w:rsidRPr="005C50FD" w:rsidRDefault="00FA2069" w:rsidP="005A0A81">
      <w:pPr>
        <w:spacing w:after="0" w:line="240" w:lineRule="auto"/>
        <w:contextualSpacing/>
        <w:mirrorIndents/>
        <w:jc w:val="center"/>
        <w:rPr>
          <w:b/>
          <w:color w:val="0070C0"/>
          <w:sz w:val="20"/>
          <w:szCs w:val="20"/>
        </w:rPr>
      </w:pPr>
      <w:r w:rsidRPr="005C50FD">
        <w:rPr>
          <w:b/>
          <w:color w:val="0070C0"/>
          <w:sz w:val="20"/>
          <w:szCs w:val="20"/>
        </w:rPr>
        <w:t>Wholesalers’ Take on Business Conditions</w:t>
      </w:r>
    </w:p>
    <w:p w14:paraId="24D799B1" w14:textId="77777777" w:rsidR="00FA2069" w:rsidRPr="005C50FD" w:rsidRDefault="00FA2069" w:rsidP="00FA2069">
      <w:pPr>
        <w:spacing w:after="0" w:line="240" w:lineRule="auto"/>
        <w:contextualSpacing/>
        <w:mirrorIndents/>
        <w:rPr>
          <w:sz w:val="20"/>
          <w:szCs w:val="20"/>
        </w:rPr>
      </w:pPr>
    </w:p>
    <w:p w14:paraId="4980AB71" w14:textId="451CA9FD" w:rsidR="005A0A81" w:rsidRPr="005C50FD" w:rsidRDefault="002252FC" w:rsidP="002252FC">
      <w:pPr>
        <w:pStyle w:val="ListParagraph"/>
        <w:numPr>
          <w:ilvl w:val="0"/>
          <w:numId w:val="2"/>
        </w:numPr>
        <w:spacing w:after="0" w:line="240" w:lineRule="auto"/>
        <w:mirrorIndents/>
        <w:rPr>
          <w:sz w:val="20"/>
          <w:szCs w:val="20"/>
        </w:rPr>
      </w:pPr>
      <w:r w:rsidRPr="005C50FD">
        <w:rPr>
          <w:sz w:val="20"/>
          <w:szCs w:val="20"/>
        </w:rPr>
        <w:t xml:space="preserve">Following a good Mother’s Day for floral wholesalers, it’s not surprising that 69.77% of all respondents to the </w:t>
      </w:r>
      <w:r w:rsidRPr="005C50FD">
        <w:rPr>
          <w:sz w:val="20"/>
        </w:rPr>
        <w:t>Wholesale Florists and Floral Supplier Association’s (WF&amp;FSA) Mother’s Day survey expected their sales to increase during the remainder of 2018.</w:t>
      </w:r>
    </w:p>
    <w:p w14:paraId="2B99949F" w14:textId="02E33BB8" w:rsidR="005A0A81" w:rsidRPr="005C50FD" w:rsidRDefault="005A0A81" w:rsidP="00FA2069">
      <w:pPr>
        <w:spacing w:after="0" w:line="240" w:lineRule="auto"/>
        <w:contextualSpacing/>
        <w:mirrorIndents/>
        <w:rPr>
          <w:sz w:val="20"/>
          <w:szCs w:val="20"/>
        </w:rPr>
      </w:pPr>
    </w:p>
    <w:p w14:paraId="6276B04C" w14:textId="5B27A7C2" w:rsidR="002252FC" w:rsidRPr="005C50FD" w:rsidRDefault="002252FC" w:rsidP="002252FC">
      <w:pPr>
        <w:pStyle w:val="ListParagraph"/>
        <w:numPr>
          <w:ilvl w:val="0"/>
          <w:numId w:val="2"/>
        </w:numPr>
        <w:spacing w:after="0" w:line="240" w:lineRule="auto"/>
        <w:mirrorIndents/>
        <w:rPr>
          <w:sz w:val="20"/>
          <w:szCs w:val="20"/>
        </w:rPr>
      </w:pPr>
      <w:r w:rsidRPr="005C50FD">
        <w:rPr>
          <w:sz w:val="20"/>
          <w:szCs w:val="20"/>
        </w:rPr>
        <w:t>51.16% of wholesalers said their Mother’s Day 2018 sales were what they expected, with 25.58% experiencing better than expected sales</w:t>
      </w:r>
      <w:r w:rsidR="00604026" w:rsidRPr="005C50FD">
        <w:rPr>
          <w:sz w:val="20"/>
          <w:szCs w:val="20"/>
        </w:rPr>
        <w:t xml:space="preserve">. More than 70% said their inventories were almost totally sold at the end of holiday. </w:t>
      </w:r>
      <w:r w:rsidRPr="005C50FD">
        <w:rPr>
          <w:sz w:val="20"/>
          <w:szCs w:val="20"/>
        </w:rPr>
        <w:t xml:space="preserve"> </w:t>
      </w:r>
    </w:p>
    <w:p w14:paraId="4EA6D496" w14:textId="713650FC" w:rsidR="002252FC" w:rsidRPr="005C50FD" w:rsidRDefault="002252FC" w:rsidP="00FA2069">
      <w:pPr>
        <w:spacing w:after="0" w:line="240" w:lineRule="auto"/>
        <w:contextualSpacing/>
        <w:mirrorIndents/>
        <w:rPr>
          <w:sz w:val="20"/>
          <w:szCs w:val="20"/>
        </w:rPr>
      </w:pPr>
    </w:p>
    <w:p w14:paraId="4BCDD339" w14:textId="492E1147" w:rsidR="002252FC" w:rsidRPr="005C50FD" w:rsidRDefault="00604026" w:rsidP="00604026">
      <w:pPr>
        <w:pStyle w:val="ListParagraph"/>
        <w:numPr>
          <w:ilvl w:val="0"/>
          <w:numId w:val="2"/>
        </w:numPr>
        <w:spacing w:after="0" w:line="240" w:lineRule="auto"/>
        <w:mirrorIndents/>
        <w:rPr>
          <w:sz w:val="20"/>
          <w:szCs w:val="20"/>
        </w:rPr>
      </w:pPr>
      <w:r w:rsidRPr="005C50FD">
        <w:rPr>
          <w:sz w:val="20"/>
          <w:szCs w:val="20"/>
        </w:rPr>
        <w:t>Of those wholesalers responding to the WF&amp;FSA survey, 50% said their Mother’s Day prices increased compared to 2017, while 42.86% said they were flat.</w:t>
      </w:r>
    </w:p>
    <w:p w14:paraId="7D2A8ADD" w14:textId="77777777" w:rsidR="002252FC" w:rsidRPr="005C50FD" w:rsidRDefault="002252FC" w:rsidP="00FA2069">
      <w:pPr>
        <w:spacing w:after="0" w:line="240" w:lineRule="auto"/>
        <w:contextualSpacing/>
        <w:mirrorIndents/>
        <w:rPr>
          <w:sz w:val="20"/>
          <w:szCs w:val="20"/>
        </w:rPr>
      </w:pPr>
    </w:p>
    <w:p w14:paraId="0664C8A0" w14:textId="2953CCAB" w:rsidR="00604026" w:rsidRPr="005C50FD" w:rsidRDefault="00604026" w:rsidP="00604026">
      <w:pPr>
        <w:pStyle w:val="Header"/>
        <w:contextualSpacing/>
        <w:jc w:val="center"/>
        <w:rPr>
          <w:rFonts w:ascii="Verdana" w:hAnsi="Verdana"/>
          <w:b/>
          <w:sz w:val="20"/>
          <w:szCs w:val="20"/>
        </w:rPr>
      </w:pPr>
      <w:r w:rsidRPr="005C50FD">
        <w:rPr>
          <w:rFonts w:ascii="Verdana" w:hAnsi="Verdana"/>
          <w:b/>
          <w:sz w:val="20"/>
          <w:szCs w:val="20"/>
        </w:rPr>
        <w:t xml:space="preserve">Wholesale Florists’ Mother’s Day 2018 Fresh Flower Sales Performance, </w:t>
      </w:r>
      <w:r w:rsidR="00B03246" w:rsidRPr="005C50FD">
        <w:rPr>
          <w:rFonts w:ascii="Verdana" w:hAnsi="Verdana"/>
          <w:b/>
          <w:sz w:val="20"/>
          <w:szCs w:val="20"/>
        </w:rPr>
        <w:t>May</w:t>
      </w:r>
      <w:r w:rsidRPr="005C50FD">
        <w:rPr>
          <w:rFonts w:ascii="Verdana" w:hAnsi="Verdana"/>
          <w:b/>
          <w:sz w:val="20"/>
          <w:szCs w:val="20"/>
        </w:rPr>
        <w:t xml:space="preserve"> 2018</w:t>
      </w:r>
    </w:p>
    <w:tbl>
      <w:tblPr>
        <w:tblW w:w="7635" w:type="dxa"/>
        <w:jc w:val="center"/>
        <w:tblBorders>
          <w:left w:val="single" w:sz="8" w:space="0" w:color="000000"/>
          <w:right w:val="single" w:sz="8" w:space="0" w:color="000000"/>
        </w:tblBorders>
        <w:tblLayout w:type="fixed"/>
        <w:tblLook w:val="0000" w:firstRow="0" w:lastRow="0" w:firstColumn="0" w:lastColumn="0" w:noHBand="0" w:noVBand="0"/>
      </w:tblPr>
      <w:tblGrid>
        <w:gridCol w:w="2730"/>
        <w:gridCol w:w="1097"/>
        <w:gridCol w:w="2743"/>
        <w:gridCol w:w="1065"/>
      </w:tblGrid>
      <w:tr w:rsidR="00B03246" w:rsidRPr="005C50FD" w14:paraId="5856360E" w14:textId="77777777" w:rsidTr="00B03246">
        <w:trPr>
          <w:trHeight w:val="243"/>
          <w:jc w:val="center"/>
        </w:trPr>
        <w:tc>
          <w:tcPr>
            <w:tcW w:w="2730" w:type="dxa"/>
            <w:tcBorders>
              <w:top w:val="single" w:sz="12" w:space="0" w:color="000000"/>
              <w:left w:val="single" w:sz="12" w:space="0" w:color="000000"/>
              <w:bottom w:val="single" w:sz="18" w:space="0" w:color="000000"/>
              <w:right w:val="single" w:sz="8" w:space="0" w:color="000000"/>
            </w:tcBorders>
            <w:vAlign w:val="center"/>
          </w:tcPr>
          <w:p w14:paraId="63714677" w14:textId="3E299245" w:rsidR="00B03246" w:rsidRPr="005C50FD" w:rsidRDefault="00B03246" w:rsidP="00B03246">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5C50FD">
              <w:rPr>
                <w:rFonts w:ascii="Verdana" w:eastAsia="Times New Roman" w:hAnsi="Verdana"/>
                <w:sz w:val="20"/>
                <w:szCs w:val="20"/>
              </w:rPr>
              <w:t>Performance</w:t>
            </w:r>
          </w:p>
        </w:tc>
        <w:tc>
          <w:tcPr>
            <w:tcW w:w="1097" w:type="dxa"/>
            <w:tcBorders>
              <w:top w:val="single" w:sz="12" w:space="0" w:color="000000"/>
              <w:left w:val="single" w:sz="8" w:space="0" w:color="000000"/>
              <w:bottom w:val="single" w:sz="18" w:space="0" w:color="000000"/>
              <w:right w:val="single" w:sz="18" w:space="0" w:color="auto"/>
            </w:tcBorders>
            <w:vAlign w:val="center"/>
          </w:tcPr>
          <w:p w14:paraId="7DFAEEA5" w14:textId="04BA20E8" w:rsidR="00B03246" w:rsidRPr="005C50FD" w:rsidRDefault="00B03246" w:rsidP="00B03246">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5C50FD">
              <w:rPr>
                <w:rFonts w:ascii="Verdana" w:eastAsia="Times New Roman" w:hAnsi="Verdana"/>
                <w:sz w:val="20"/>
                <w:szCs w:val="20"/>
              </w:rPr>
              <w:t>Percent</w:t>
            </w:r>
          </w:p>
        </w:tc>
        <w:tc>
          <w:tcPr>
            <w:tcW w:w="2743" w:type="dxa"/>
            <w:tcBorders>
              <w:top w:val="single" w:sz="12" w:space="0" w:color="000000"/>
              <w:left w:val="single" w:sz="18" w:space="0" w:color="auto"/>
              <w:bottom w:val="single" w:sz="18" w:space="0" w:color="000000"/>
              <w:right w:val="single" w:sz="8" w:space="0" w:color="000000"/>
            </w:tcBorders>
            <w:vAlign w:val="center"/>
          </w:tcPr>
          <w:p w14:paraId="1EA2370A" w14:textId="029CA8B2" w:rsidR="00B03246" w:rsidRPr="005C50FD" w:rsidRDefault="00B03246" w:rsidP="00B03246">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5C50FD">
              <w:rPr>
                <w:rFonts w:ascii="Verdana" w:eastAsia="Times New Roman" w:hAnsi="Verdana"/>
                <w:sz w:val="20"/>
                <w:szCs w:val="20"/>
              </w:rPr>
              <w:t>Performance</w:t>
            </w:r>
          </w:p>
        </w:tc>
        <w:tc>
          <w:tcPr>
            <w:tcW w:w="1065" w:type="dxa"/>
            <w:tcBorders>
              <w:top w:val="single" w:sz="12" w:space="0" w:color="000000"/>
              <w:left w:val="single" w:sz="8" w:space="0" w:color="000000"/>
              <w:bottom w:val="single" w:sz="18" w:space="0" w:color="000000"/>
              <w:right w:val="single" w:sz="12" w:space="0" w:color="000000"/>
            </w:tcBorders>
            <w:vAlign w:val="center"/>
          </w:tcPr>
          <w:p w14:paraId="2D2750DF" w14:textId="4F0053E9" w:rsidR="00B03246" w:rsidRPr="005C50FD" w:rsidRDefault="00B03246" w:rsidP="00B03246">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5C50FD">
              <w:rPr>
                <w:rFonts w:ascii="Verdana" w:eastAsia="Times New Roman" w:hAnsi="Verdana"/>
                <w:sz w:val="20"/>
                <w:szCs w:val="20"/>
              </w:rPr>
              <w:t>Percent</w:t>
            </w:r>
          </w:p>
        </w:tc>
      </w:tr>
      <w:tr w:rsidR="00B03246" w:rsidRPr="005C50FD" w14:paraId="1233AEF2" w14:textId="77777777" w:rsidTr="00B03246">
        <w:trPr>
          <w:trHeight w:val="243"/>
          <w:jc w:val="center"/>
        </w:trPr>
        <w:tc>
          <w:tcPr>
            <w:tcW w:w="2730" w:type="dxa"/>
            <w:tcBorders>
              <w:top w:val="single" w:sz="18" w:space="0" w:color="000000"/>
              <w:left w:val="single" w:sz="12" w:space="0" w:color="000000"/>
              <w:bottom w:val="single" w:sz="4" w:space="0" w:color="auto"/>
              <w:right w:val="single" w:sz="8" w:space="0" w:color="000000"/>
            </w:tcBorders>
            <w:vAlign w:val="center"/>
          </w:tcPr>
          <w:p w14:paraId="7E649604" w14:textId="457B9D69" w:rsidR="00B03246" w:rsidRPr="005C50FD" w:rsidRDefault="00B03246" w:rsidP="00B03246">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Increased 20% or more</w:t>
            </w:r>
          </w:p>
        </w:tc>
        <w:tc>
          <w:tcPr>
            <w:tcW w:w="1097" w:type="dxa"/>
            <w:tcBorders>
              <w:top w:val="single" w:sz="18" w:space="0" w:color="000000"/>
              <w:left w:val="single" w:sz="8" w:space="0" w:color="000000"/>
              <w:bottom w:val="single" w:sz="4" w:space="0" w:color="auto"/>
              <w:right w:val="single" w:sz="18" w:space="0" w:color="auto"/>
            </w:tcBorders>
            <w:vAlign w:val="center"/>
          </w:tcPr>
          <w:p w14:paraId="4EFF45D5" w14:textId="7D12C21B" w:rsidR="00B03246" w:rsidRPr="005C50FD" w:rsidRDefault="00B03246" w:rsidP="00B0324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2.33%</w:t>
            </w:r>
          </w:p>
        </w:tc>
        <w:tc>
          <w:tcPr>
            <w:tcW w:w="2743" w:type="dxa"/>
            <w:tcBorders>
              <w:top w:val="single" w:sz="18" w:space="0" w:color="000000"/>
              <w:left w:val="single" w:sz="18" w:space="0" w:color="auto"/>
              <w:bottom w:val="single" w:sz="4" w:space="0" w:color="000000"/>
              <w:right w:val="single" w:sz="8" w:space="0" w:color="000000"/>
            </w:tcBorders>
            <w:vAlign w:val="center"/>
          </w:tcPr>
          <w:p w14:paraId="3226E3EE" w14:textId="4039912B" w:rsidR="00B03246" w:rsidRPr="005C50FD" w:rsidRDefault="00B03246" w:rsidP="00B03246">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Decreased less than 5%</w:t>
            </w:r>
          </w:p>
        </w:tc>
        <w:tc>
          <w:tcPr>
            <w:tcW w:w="1065" w:type="dxa"/>
            <w:tcBorders>
              <w:top w:val="single" w:sz="18" w:space="0" w:color="000000"/>
              <w:left w:val="single" w:sz="8" w:space="0" w:color="000000"/>
              <w:bottom w:val="single" w:sz="4" w:space="0" w:color="000000"/>
              <w:right w:val="single" w:sz="12" w:space="0" w:color="000000"/>
            </w:tcBorders>
            <w:vAlign w:val="center"/>
          </w:tcPr>
          <w:p w14:paraId="34007FCD" w14:textId="65414A8C" w:rsidR="00B03246" w:rsidRPr="005C50FD" w:rsidRDefault="00B03246" w:rsidP="00B0324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9.30%</w:t>
            </w:r>
          </w:p>
        </w:tc>
      </w:tr>
      <w:tr w:rsidR="00B03246" w:rsidRPr="005C50FD" w14:paraId="737A7853" w14:textId="77777777" w:rsidTr="00B03246">
        <w:trPr>
          <w:trHeight w:val="243"/>
          <w:jc w:val="center"/>
        </w:trPr>
        <w:tc>
          <w:tcPr>
            <w:tcW w:w="2730" w:type="dxa"/>
            <w:tcBorders>
              <w:top w:val="single" w:sz="4" w:space="0" w:color="auto"/>
              <w:left w:val="single" w:sz="12" w:space="0" w:color="000000"/>
              <w:bottom w:val="single" w:sz="4" w:space="0" w:color="000000"/>
              <w:right w:val="single" w:sz="8" w:space="0" w:color="000000"/>
            </w:tcBorders>
            <w:vAlign w:val="center"/>
          </w:tcPr>
          <w:p w14:paraId="63CB3ABA" w14:textId="70A2C397" w:rsidR="00B03246" w:rsidRPr="005C50FD" w:rsidRDefault="00B03246" w:rsidP="00B03246">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Increased 10%–19%</w:t>
            </w:r>
          </w:p>
        </w:tc>
        <w:tc>
          <w:tcPr>
            <w:tcW w:w="1097" w:type="dxa"/>
            <w:tcBorders>
              <w:top w:val="single" w:sz="4" w:space="0" w:color="auto"/>
              <w:left w:val="single" w:sz="8" w:space="0" w:color="000000"/>
              <w:bottom w:val="single" w:sz="4" w:space="0" w:color="000000"/>
              <w:right w:val="single" w:sz="18" w:space="0" w:color="auto"/>
            </w:tcBorders>
            <w:vAlign w:val="center"/>
          </w:tcPr>
          <w:p w14:paraId="691702A5" w14:textId="06F77D03" w:rsidR="00B03246" w:rsidRPr="005C50FD" w:rsidRDefault="00B03246" w:rsidP="00B0324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13.95%</w:t>
            </w:r>
          </w:p>
        </w:tc>
        <w:tc>
          <w:tcPr>
            <w:tcW w:w="2743" w:type="dxa"/>
            <w:tcBorders>
              <w:top w:val="single" w:sz="4" w:space="0" w:color="000000"/>
              <w:left w:val="single" w:sz="18" w:space="0" w:color="auto"/>
              <w:bottom w:val="single" w:sz="4" w:space="0" w:color="000000"/>
              <w:right w:val="single" w:sz="8" w:space="0" w:color="000000"/>
            </w:tcBorders>
            <w:vAlign w:val="center"/>
          </w:tcPr>
          <w:p w14:paraId="32CD5905" w14:textId="3ED12E26" w:rsidR="00B03246" w:rsidRPr="005C50FD" w:rsidRDefault="00B03246" w:rsidP="00B03246">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Decreased 5%–9%</w:t>
            </w:r>
          </w:p>
        </w:tc>
        <w:tc>
          <w:tcPr>
            <w:tcW w:w="1065" w:type="dxa"/>
            <w:tcBorders>
              <w:top w:val="single" w:sz="4" w:space="0" w:color="000000"/>
              <w:left w:val="single" w:sz="8" w:space="0" w:color="000000"/>
              <w:bottom w:val="single" w:sz="4" w:space="0" w:color="000000"/>
              <w:right w:val="single" w:sz="12" w:space="0" w:color="000000"/>
            </w:tcBorders>
            <w:vAlign w:val="center"/>
          </w:tcPr>
          <w:p w14:paraId="2382FEEC" w14:textId="43BFC30D" w:rsidR="00B03246" w:rsidRPr="005C50FD" w:rsidRDefault="00B03246" w:rsidP="00B0324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9.30%</w:t>
            </w:r>
          </w:p>
        </w:tc>
      </w:tr>
      <w:tr w:rsidR="00B03246" w:rsidRPr="005C50FD" w14:paraId="4BF40440" w14:textId="77777777" w:rsidTr="00B03246">
        <w:trPr>
          <w:trHeight w:val="243"/>
          <w:jc w:val="center"/>
        </w:trPr>
        <w:tc>
          <w:tcPr>
            <w:tcW w:w="2730" w:type="dxa"/>
            <w:tcBorders>
              <w:top w:val="single" w:sz="4" w:space="0" w:color="auto"/>
              <w:left w:val="single" w:sz="12" w:space="0" w:color="000000"/>
              <w:bottom w:val="single" w:sz="4" w:space="0" w:color="000000"/>
              <w:right w:val="single" w:sz="8" w:space="0" w:color="000000"/>
            </w:tcBorders>
            <w:vAlign w:val="center"/>
          </w:tcPr>
          <w:p w14:paraId="3C670B21" w14:textId="62DD4963" w:rsidR="00B03246" w:rsidRPr="005C50FD" w:rsidRDefault="00B03246" w:rsidP="00B03246">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Increased 5%–9%</w:t>
            </w:r>
          </w:p>
        </w:tc>
        <w:tc>
          <w:tcPr>
            <w:tcW w:w="1097" w:type="dxa"/>
            <w:tcBorders>
              <w:top w:val="single" w:sz="4" w:space="0" w:color="auto"/>
              <w:left w:val="single" w:sz="8" w:space="0" w:color="000000"/>
              <w:bottom w:val="single" w:sz="4" w:space="0" w:color="000000"/>
              <w:right w:val="single" w:sz="18" w:space="0" w:color="auto"/>
            </w:tcBorders>
            <w:vAlign w:val="center"/>
          </w:tcPr>
          <w:p w14:paraId="23C014E2" w14:textId="684A22C1" w:rsidR="00B03246" w:rsidRPr="005C50FD" w:rsidRDefault="00B03246" w:rsidP="00B0324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23.26%</w:t>
            </w:r>
          </w:p>
        </w:tc>
        <w:tc>
          <w:tcPr>
            <w:tcW w:w="2743" w:type="dxa"/>
            <w:tcBorders>
              <w:top w:val="single" w:sz="4" w:space="0" w:color="000000"/>
              <w:left w:val="single" w:sz="18" w:space="0" w:color="auto"/>
              <w:bottom w:val="single" w:sz="4" w:space="0" w:color="000000"/>
              <w:right w:val="single" w:sz="8" w:space="0" w:color="000000"/>
            </w:tcBorders>
            <w:vAlign w:val="center"/>
          </w:tcPr>
          <w:p w14:paraId="1AEDDEA5" w14:textId="3BD7C842" w:rsidR="00B03246" w:rsidRPr="005C50FD" w:rsidRDefault="00B03246" w:rsidP="00B03246">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Decreased 10%–19%</w:t>
            </w:r>
          </w:p>
        </w:tc>
        <w:tc>
          <w:tcPr>
            <w:tcW w:w="1065" w:type="dxa"/>
            <w:tcBorders>
              <w:top w:val="single" w:sz="4" w:space="0" w:color="000000"/>
              <w:left w:val="single" w:sz="8" w:space="0" w:color="000000"/>
              <w:bottom w:val="single" w:sz="4" w:space="0" w:color="000000"/>
              <w:right w:val="single" w:sz="12" w:space="0" w:color="000000"/>
            </w:tcBorders>
            <w:vAlign w:val="center"/>
          </w:tcPr>
          <w:p w14:paraId="33BBF007" w14:textId="2B21B271" w:rsidR="00B03246" w:rsidRPr="005C50FD" w:rsidRDefault="00B03246" w:rsidP="00B0324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6.98%</w:t>
            </w:r>
          </w:p>
        </w:tc>
      </w:tr>
      <w:tr w:rsidR="00B03246" w:rsidRPr="005C50FD" w14:paraId="65DC965E" w14:textId="77777777" w:rsidTr="00B03246">
        <w:trPr>
          <w:trHeight w:val="243"/>
          <w:jc w:val="center"/>
        </w:trPr>
        <w:tc>
          <w:tcPr>
            <w:tcW w:w="2730" w:type="dxa"/>
            <w:tcBorders>
              <w:top w:val="single" w:sz="4" w:space="0" w:color="auto"/>
              <w:left w:val="single" w:sz="12" w:space="0" w:color="000000"/>
              <w:bottom w:val="single" w:sz="4" w:space="0" w:color="000000"/>
              <w:right w:val="single" w:sz="8" w:space="0" w:color="000000"/>
            </w:tcBorders>
            <w:vAlign w:val="center"/>
          </w:tcPr>
          <w:p w14:paraId="6B53DE91" w14:textId="6F3F261E" w:rsidR="00B03246" w:rsidRPr="005C50FD" w:rsidRDefault="00B03246" w:rsidP="00B03246">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Increased less than 5%</w:t>
            </w:r>
          </w:p>
        </w:tc>
        <w:tc>
          <w:tcPr>
            <w:tcW w:w="1097" w:type="dxa"/>
            <w:tcBorders>
              <w:top w:val="single" w:sz="4" w:space="0" w:color="auto"/>
              <w:left w:val="single" w:sz="8" w:space="0" w:color="000000"/>
              <w:bottom w:val="single" w:sz="4" w:space="0" w:color="000000"/>
              <w:right w:val="single" w:sz="18" w:space="0" w:color="auto"/>
            </w:tcBorders>
            <w:vAlign w:val="center"/>
          </w:tcPr>
          <w:p w14:paraId="40D34B48" w14:textId="692F3A84" w:rsidR="00B03246" w:rsidRPr="005C50FD" w:rsidRDefault="00B03246" w:rsidP="00B0324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16.28%</w:t>
            </w:r>
          </w:p>
        </w:tc>
        <w:tc>
          <w:tcPr>
            <w:tcW w:w="2743" w:type="dxa"/>
            <w:tcBorders>
              <w:top w:val="single" w:sz="4" w:space="0" w:color="000000"/>
              <w:left w:val="single" w:sz="18" w:space="0" w:color="auto"/>
              <w:bottom w:val="single" w:sz="4" w:space="0" w:color="000000"/>
              <w:right w:val="single" w:sz="8" w:space="0" w:color="000000"/>
            </w:tcBorders>
            <w:vAlign w:val="center"/>
          </w:tcPr>
          <w:p w14:paraId="04FBD06B" w14:textId="78AEEB62" w:rsidR="00B03246" w:rsidRPr="005C50FD" w:rsidRDefault="00B03246" w:rsidP="00B03246">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Decreased 20% or more</w:t>
            </w:r>
          </w:p>
        </w:tc>
        <w:tc>
          <w:tcPr>
            <w:tcW w:w="1065" w:type="dxa"/>
            <w:tcBorders>
              <w:top w:val="single" w:sz="4" w:space="0" w:color="000000"/>
              <w:left w:val="single" w:sz="8" w:space="0" w:color="000000"/>
              <w:bottom w:val="single" w:sz="4" w:space="0" w:color="000000"/>
              <w:right w:val="single" w:sz="12" w:space="0" w:color="000000"/>
            </w:tcBorders>
            <w:vAlign w:val="center"/>
          </w:tcPr>
          <w:p w14:paraId="12AF304C" w14:textId="74A7855B" w:rsidR="00B03246" w:rsidRPr="005C50FD" w:rsidRDefault="00B03246" w:rsidP="00B0324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0.00%</w:t>
            </w:r>
          </w:p>
        </w:tc>
      </w:tr>
      <w:tr w:rsidR="00B03246" w:rsidRPr="005C50FD" w14:paraId="729A4B66" w14:textId="77777777" w:rsidTr="00B03246">
        <w:trPr>
          <w:trHeight w:val="243"/>
          <w:jc w:val="center"/>
        </w:trPr>
        <w:tc>
          <w:tcPr>
            <w:tcW w:w="2730" w:type="dxa"/>
            <w:tcBorders>
              <w:top w:val="single" w:sz="4" w:space="0" w:color="000000"/>
              <w:left w:val="single" w:sz="12" w:space="0" w:color="000000"/>
              <w:bottom w:val="single" w:sz="12" w:space="0" w:color="000000"/>
              <w:right w:val="single" w:sz="8" w:space="0" w:color="000000"/>
            </w:tcBorders>
            <w:shd w:val="clear" w:color="auto" w:fill="auto"/>
            <w:vAlign w:val="center"/>
          </w:tcPr>
          <w:p w14:paraId="5A818E48" w14:textId="0CFA40C3" w:rsidR="00B03246" w:rsidRPr="005C50FD" w:rsidRDefault="00B03246" w:rsidP="00B03246">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Flat</w:t>
            </w:r>
          </w:p>
        </w:tc>
        <w:tc>
          <w:tcPr>
            <w:tcW w:w="1097" w:type="dxa"/>
            <w:tcBorders>
              <w:top w:val="single" w:sz="4" w:space="0" w:color="000000"/>
              <w:left w:val="single" w:sz="8" w:space="0" w:color="000000"/>
              <w:bottom w:val="single" w:sz="12" w:space="0" w:color="000000"/>
              <w:right w:val="single" w:sz="18" w:space="0" w:color="auto"/>
            </w:tcBorders>
            <w:shd w:val="clear" w:color="auto" w:fill="auto"/>
            <w:vAlign w:val="center"/>
          </w:tcPr>
          <w:p w14:paraId="49A410EF" w14:textId="6B3A3371" w:rsidR="00B03246" w:rsidRPr="005C50FD" w:rsidRDefault="00B03246" w:rsidP="00B0324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11.63%</w:t>
            </w:r>
          </w:p>
        </w:tc>
        <w:tc>
          <w:tcPr>
            <w:tcW w:w="2743" w:type="dxa"/>
            <w:tcBorders>
              <w:top w:val="single" w:sz="4" w:space="0" w:color="000000"/>
              <w:left w:val="single" w:sz="18" w:space="0" w:color="auto"/>
              <w:bottom w:val="single" w:sz="12" w:space="0" w:color="000000"/>
              <w:right w:val="single" w:sz="8" w:space="0" w:color="000000"/>
            </w:tcBorders>
            <w:shd w:val="clear" w:color="auto" w:fill="BFBFBF" w:themeFill="background1" w:themeFillShade="BF"/>
            <w:vAlign w:val="center"/>
          </w:tcPr>
          <w:p w14:paraId="362A7D49" w14:textId="77777777" w:rsidR="00B03246" w:rsidRPr="005C50FD" w:rsidRDefault="00B03246" w:rsidP="00B03246">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p>
        </w:tc>
        <w:tc>
          <w:tcPr>
            <w:tcW w:w="1065" w:type="dxa"/>
            <w:tcBorders>
              <w:top w:val="single" w:sz="4" w:space="0" w:color="000000"/>
              <w:left w:val="single" w:sz="8" w:space="0" w:color="000000"/>
              <w:bottom w:val="single" w:sz="12" w:space="0" w:color="000000"/>
              <w:right w:val="single" w:sz="12" w:space="0" w:color="000000"/>
            </w:tcBorders>
            <w:shd w:val="clear" w:color="auto" w:fill="BFBFBF" w:themeFill="background1" w:themeFillShade="BF"/>
            <w:vAlign w:val="center"/>
          </w:tcPr>
          <w:p w14:paraId="1A636805" w14:textId="77777777" w:rsidR="00B03246" w:rsidRPr="005C50FD" w:rsidRDefault="00B03246" w:rsidP="00B03246">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p>
        </w:tc>
      </w:tr>
    </w:tbl>
    <w:p w14:paraId="244B821D" w14:textId="4C6CCA1F" w:rsidR="00604026" w:rsidRPr="005C50FD" w:rsidRDefault="00604026" w:rsidP="00B03246">
      <w:pPr>
        <w:tabs>
          <w:tab w:val="left" w:pos="900"/>
        </w:tabs>
        <w:spacing w:after="0" w:line="240" w:lineRule="auto"/>
        <w:contextualSpacing/>
        <w:mirrorIndents/>
        <w:rPr>
          <w:sz w:val="20"/>
          <w:szCs w:val="20"/>
        </w:rPr>
      </w:pPr>
      <w:r w:rsidRPr="005C50FD">
        <w:rPr>
          <w:rFonts w:ascii="Verdana" w:hAnsi="Verdana"/>
          <w:sz w:val="16"/>
          <w:szCs w:val="16"/>
        </w:rPr>
        <w:tab/>
        <w:t>Wholesale Flo</w:t>
      </w:r>
      <w:r w:rsidR="00B03246" w:rsidRPr="005C50FD">
        <w:rPr>
          <w:rFonts w:ascii="Verdana" w:hAnsi="Verdana"/>
          <w:sz w:val="16"/>
          <w:szCs w:val="16"/>
        </w:rPr>
        <w:t>rists and Floral Supplier Association</w:t>
      </w:r>
      <w:r w:rsidRPr="005C50FD">
        <w:rPr>
          <w:rFonts w:ascii="Verdana" w:hAnsi="Verdana"/>
          <w:sz w:val="16"/>
          <w:szCs w:val="16"/>
        </w:rPr>
        <w:t xml:space="preserve">, </w:t>
      </w:r>
      <w:r w:rsidR="00B03246" w:rsidRPr="005C50FD">
        <w:rPr>
          <w:rFonts w:ascii="Verdana" w:hAnsi="Verdana"/>
          <w:sz w:val="16"/>
          <w:szCs w:val="16"/>
        </w:rPr>
        <w:t xml:space="preserve">June </w:t>
      </w:r>
      <w:r w:rsidRPr="005C50FD">
        <w:rPr>
          <w:rFonts w:ascii="Verdana" w:hAnsi="Verdana"/>
          <w:sz w:val="16"/>
          <w:szCs w:val="16"/>
        </w:rPr>
        <w:t xml:space="preserve">2018          </w:t>
      </w:r>
    </w:p>
    <w:p w14:paraId="18C27A32" w14:textId="77777777" w:rsidR="00604026" w:rsidRPr="005C50FD" w:rsidRDefault="00604026" w:rsidP="00FA2069">
      <w:pPr>
        <w:spacing w:after="0" w:line="240" w:lineRule="auto"/>
        <w:contextualSpacing/>
        <w:mirrorIndents/>
        <w:rPr>
          <w:sz w:val="20"/>
          <w:szCs w:val="20"/>
        </w:rPr>
      </w:pPr>
    </w:p>
    <w:p w14:paraId="7C487374" w14:textId="77777777" w:rsidR="00604026" w:rsidRPr="005C50FD" w:rsidRDefault="00604026" w:rsidP="00FA2069">
      <w:pPr>
        <w:spacing w:after="0" w:line="240" w:lineRule="auto"/>
        <w:contextualSpacing/>
        <w:mirrorIndents/>
        <w:rPr>
          <w:sz w:val="20"/>
          <w:szCs w:val="20"/>
        </w:rPr>
      </w:pPr>
    </w:p>
    <w:p w14:paraId="54ACFB68" w14:textId="77777777" w:rsidR="00604026" w:rsidRPr="005C50FD" w:rsidRDefault="00604026" w:rsidP="00FA2069">
      <w:pPr>
        <w:spacing w:after="0" w:line="240" w:lineRule="auto"/>
        <w:contextualSpacing/>
        <w:mirrorIndents/>
        <w:rPr>
          <w:sz w:val="20"/>
          <w:szCs w:val="20"/>
        </w:rPr>
      </w:pPr>
    </w:p>
    <w:p w14:paraId="7E2FE0FB" w14:textId="7C5E9E3E" w:rsidR="00FA2069" w:rsidRPr="005C50FD" w:rsidRDefault="00FA2069" w:rsidP="008140A7">
      <w:pPr>
        <w:spacing w:after="0" w:line="240" w:lineRule="auto"/>
        <w:contextualSpacing/>
        <w:mirrorIndents/>
        <w:jc w:val="center"/>
        <w:rPr>
          <w:b/>
          <w:color w:val="0070C0"/>
          <w:sz w:val="20"/>
          <w:szCs w:val="20"/>
        </w:rPr>
      </w:pPr>
      <w:r w:rsidRPr="005C50FD">
        <w:rPr>
          <w:b/>
          <w:color w:val="0070C0"/>
          <w:sz w:val="20"/>
          <w:szCs w:val="20"/>
        </w:rPr>
        <w:lastRenderedPageBreak/>
        <w:t>Floral Products in the Produce Department</w:t>
      </w:r>
    </w:p>
    <w:p w14:paraId="0DD6FA8B" w14:textId="77777777" w:rsidR="00FA2069" w:rsidRPr="005C50FD" w:rsidRDefault="00FA2069" w:rsidP="00FA2069">
      <w:pPr>
        <w:spacing w:after="0" w:line="240" w:lineRule="auto"/>
        <w:contextualSpacing/>
        <w:mirrorIndents/>
        <w:rPr>
          <w:sz w:val="20"/>
          <w:szCs w:val="20"/>
        </w:rPr>
      </w:pPr>
    </w:p>
    <w:p w14:paraId="5E639B4C" w14:textId="0F5DBFFC" w:rsidR="008140A7" w:rsidRPr="005C50FD" w:rsidRDefault="004E0C81" w:rsidP="004E0C81">
      <w:pPr>
        <w:pStyle w:val="ListParagraph"/>
        <w:numPr>
          <w:ilvl w:val="0"/>
          <w:numId w:val="3"/>
        </w:numPr>
        <w:spacing w:after="0" w:line="240" w:lineRule="auto"/>
        <w:mirrorIndents/>
        <w:rPr>
          <w:sz w:val="20"/>
          <w:szCs w:val="20"/>
        </w:rPr>
      </w:pPr>
      <w:r w:rsidRPr="005C50FD">
        <w:rPr>
          <w:sz w:val="20"/>
          <w:szCs w:val="20"/>
        </w:rPr>
        <w:t xml:space="preserve">According to </w:t>
      </w:r>
      <w:r w:rsidR="006F776E">
        <w:rPr>
          <w:sz w:val="20"/>
          <w:szCs w:val="20"/>
        </w:rPr>
        <w:t xml:space="preserve">IRI </w:t>
      </w:r>
      <w:r w:rsidRPr="005C50FD">
        <w:rPr>
          <w:sz w:val="20"/>
          <w:szCs w:val="20"/>
        </w:rPr>
        <w:t xml:space="preserve">data, </w:t>
      </w:r>
      <w:r w:rsidR="0066490C" w:rsidRPr="005C50FD">
        <w:rPr>
          <w:sz w:val="20"/>
          <w:szCs w:val="20"/>
        </w:rPr>
        <w:t xml:space="preserve">floral departments </w:t>
      </w:r>
      <w:r w:rsidR="006F776E">
        <w:rPr>
          <w:sz w:val="20"/>
          <w:szCs w:val="20"/>
        </w:rPr>
        <w:t xml:space="preserve">sales </w:t>
      </w:r>
      <w:r w:rsidR="0066490C" w:rsidRPr="005C50FD">
        <w:rPr>
          <w:sz w:val="20"/>
          <w:szCs w:val="20"/>
        </w:rPr>
        <w:t xml:space="preserve">at </w:t>
      </w:r>
      <w:r w:rsidR="006F776E">
        <w:rPr>
          <w:sz w:val="20"/>
          <w:szCs w:val="20"/>
        </w:rPr>
        <w:t>multioutlet retailers (</w:t>
      </w:r>
      <w:r w:rsidR="0066490C" w:rsidRPr="005C50FD">
        <w:rPr>
          <w:sz w:val="20"/>
          <w:szCs w:val="20"/>
        </w:rPr>
        <w:t>supermarkets, mass merchandisers and warehouse clubs</w:t>
      </w:r>
      <w:r w:rsidR="006F776E">
        <w:rPr>
          <w:sz w:val="20"/>
          <w:szCs w:val="20"/>
        </w:rPr>
        <w:t>)</w:t>
      </w:r>
      <w:r w:rsidR="0066490C" w:rsidRPr="005C50FD">
        <w:rPr>
          <w:sz w:val="20"/>
          <w:szCs w:val="20"/>
        </w:rPr>
        <w:t xml:space="preserve"> totaled more than $4.7 billion for the 12 months ending </w:t>
      </w:r>
      <w:r w:rsidR="006F776E">
        <w:rPr>
          <w:sz w:val="20"/>
          <w:szCs w:val="20"/>
        </w:rPr>
        <w:t>August 12, 2018</w:t>
      </w:r>
      <w:r w:rsidR="0066490C" w:rsidRPr="005C50FD">
        <w:rPr>
          <w:sz w:val="20"/>
          <w:szCs w:val="20"/>
        </w:rPr>
        <w:t>.</w:t>
      </w:r>
    </w:p>
    <w:p w14:paraId="56840A9D" w14:textId="77777777" w:rsidR="008140A7" w:rsidRPr="005C50FD" w:rsidRDefault="008140A7" w:rsidP="00FA2069">
      <w:pPr>
        <w:spacing w:after="0" w:line="240" w:lineRule="auto"/>
        <w:contextualSpacing/>
        <w:mirrorIndents/>
        <w:rPr>
          <w:sz w:val="20"/>
          <w:szCs w:val="20"/>
        </w:rPr>
      </w:pPr>
    </w:p>
    <w:p w14:paraId="3C710006" w14:textId="35EAAD96" w:rsidR="008140A7" w:rsidRPr="005C50FD" w:rsidRDefault="0066490C" w:rsidP="0066490C">
      <w:pPr>
        <w:pStyle w:val="ListParagraph"/>
        <w:numPr>
          <w:ilvl w:val="0"/>
          <w:numId w:val="3"/>
        </w:numPr>
        <w:spacing w:after="0" w:line="240" w:lineRule="auto"/>
        <w:mirrorIndents/>
        <w:rPr>
          <w:sz w:val="20"/>
          <w:szCs w:val="20"/>
        </w:rPr>
      </w:pPr>
      <w:r w:rsidRPr="005C50FD">
        <w:rPr>
          <w:sz w:val="20"/>
          <w:szCs w:val="20"/>
        </w:rPr>
        <w:t>The IRI research also revealed a 3.2% increase of average price per unit for all floral categories for the same 12-month period, with arrangements increasing 5% and outdoor plants 4.2%.</w:t>
      </w:r>
    </w:p>
    <w:p w14:paraId="071235E0" w14:textId="39D7F71A" w:rsidR="0066490C" w:rsidRPr="005C50FD" w:rsidRDefault="0066490C" w:rsidP="0066490C">
      <w:pPr>
        <w:spacing w:after="0" w:line="240" w:lineRule="auto"/>
        <w:ind w:left="360"/>
        <w:mirrorIndents/>
        <w:rPr>
          <w:sz w:val="20"/>
          <w:szCs w:val="20"/>
        </w:rPr>
      </w:pPr>
    </w:p>
    <w:p w14:paraId="2D2F6B60" w14:textId="17B345C0" w:rsidR="0066490C" w:rsidRPr="005C50FD" w:rsidRDefault="0066490C" w:rsidP="0066490C">
      <w:pPr>
        <w:pStyle w:val="ListParagraph"/>
        <w:numPr>
          <w:ilvl w:val="0"/>
          <w:numId w:val="3"/>
        </w:numPr>
        <w:spacing w:after="0" w:line="240" w:lineRule="auto"/>
        <w:mirrorIndents/>
        <w:rPr>
          <w:sz w:val="20"/>
          <w:szCs w:val="20"/>
        </w:rPr>
      </w:pPr>
      <w:r w:rsidRPr="005C50FD">
        <w:rPr>
          <w:sz w:val="20"/>
          <w:szCs w:val="20"/>
        </w:rPr>
        <w:t xml:space="preserve">During this same 12-month period, the floral departments at multioutlet stores in North Carolina, Tennessee, Kentucky, West Virginia, Virginia, Maryland and Delaware had the largest sales increases, or </w:t>
      </w:r>
      <w:r w:rsidR="00272418">
        <w:rPr>
          <w:sz w:val="20"/>
          <w:szCs w:val="20"/>
        </w:rPr>
        <w:t xml:space="preserve">an average of </w:t>
      </w:r>
      <w:r w:rsidRPr="005C50FD">
        <w:rPr>
          <w:sz w:val="20"/>
          <w:szCs w:val="20"/>
        </w:rPr>
        <w:t>9.5%</w:t>
      </w:r>
    </w:p>
    <w:p w14:paraId="4E1E24F3" w14:textId="62963008" w:rsidR="0066490C" w:rsidRPr="005C50FD" w:rsidRDefault="0066490C" w:rsidP="0066490C">
      <w:pPr>
        <w:spacing w:after="0" w:line="240" w:lineRule="auto"/>
        <w:ind w:left="360"/>
        <w:mirrorIndents/>
        <w:rPr>
          <w:sz w:val="20"/>
          <w:szCs w:val="20"/>
        </w:rPr>
      </w:pPr>
    </w:p>
    <w:p w14:paraId="5ACBFC8A" w14:textId="0B9B0C74" w:rsidR="0066490C" w:rsidRPr="005C50FD" w:rsidRDefault="0066490C" w:rsidP="0066490C">
      <w:pPr>
        <w:pStyle w:val="Header"/>
        <w:contextualSpacing/>
        <w:jc w:val="center"/>
        <w:rPr>
          <w:rFonts w:ascii="Verdana" w:hAnsi="Verdana"/>
          <w:b/>
          <w:sz w:val="20"/>
          <w:szCs w:val="20"/>
        </w:rPr>
      </w:pPr>
      <w:r w:rsidRPr="005C50FD">
        <w:rPr>
          <w:rFonts w:ascii="Verdana" w:hAnsi="Verdana"/>
          <w:b/>
          <w:sz w:val="20"/>
          <w:szCs w:val="20"/>
        </w:rPr>
        <w:t>Multi</w:t>
      </w:r>
      <w:r w:rsidR="006F776E">
        <w:rPr>
          <w:rFonts w:ascii="Verdana" w:hAnsi="Verdana"/>
          <w:b/>
          <w:sz w:val="20"/>
          <w:szCs w:val="20"/>
        </w:rPr>
        <w:t>o</w:t>
      </w:r>
      <w:r w:rsidRPr="005C50FD">
        <w:rPr>
          <w:rFonts w:ascii="Verdana" w:hAnsi="Verdana"/>
          <w:b/>
          <w:sz w:val="20"/>
          <w:szCs w:val="20"/>
        </w:rPr>
        <w:t>utlet Retail Floral Sales</w:t>
      </w:r>
      <w:r w:rsidR="00911197" w:rsidRPr="005C50FD">
        <w:rPr>
          <w:rFonts w:ascii="Verdana" w:hAnsi="Verdana"/>
          <w:b/>
          <w:sz w:val="20"/>
          <w:szCs w:val="20"/>
        </w:rPr>
        <w:t xml:space="preserve"> Share</w:t>
      </w:r>
      <w:r w:rsidRPr="005C50FD">
        <w:rPr>
          <w:rFonts w:ascii="Verdana" w:hAnsi="Verdana"/>
          <w:b/>
          <w:sz w:val="20"/>
          <w:szCs w:val="20"/>
        </w:rPr>
        <w:t xml:space="preserve">, by Type, </w:t>
      </w:r>
      <w:r w:rsidR="00911197" w:rsidRPr="005C50FD">
        <w:rPr>
          <w:rFonts w:ascii="Verdana" w:hAnsi="Verdana"/>
          <w:b/>
          <w:sz w:val="20"/>
          <w:szCs w:val="20"/>
        </w:rPr>
        <w:t>August</w:t>
      </w:r>
      <w:r w:rsidRPr="005C50FD">
        <w:rPr>
          <w:rFonts w:ascii="Verdana" w:hAnsi="Verdana"/>
          <w:b/>
          <w:sz w:val="20"/>
          <w:szCs w:val="20"/>
        </w:rPr>
        <w:t xml:space="preserve"> 2018</w:t>
      </w:r>
    </w:p>
    <w:tbl>
      <w:tblPr>
        <w:tblW w:w="4111" w:type="dxa"/>
        <w:jc w:val="center"/>
        <w:tblBorders>
          <w:left w:val="single" w:sz="8" w:space="0" w:color="000000"/>
          <w:right w:val="single" w:sz="8" w:space="0" w:color="000000"/>
        </w:tblBorders>
        <w:tblLayout w:type="fixed"/>
        <w:tblLook w:val="0000" w:firstRow="0" w:lastRow="0" w:firstColumn="0" w:lastColumn="0" w:noHBand="0" w:noVBand="0"/>
      </w:tblPr>
      <w:tblGrid>
        <w:gridCol w:w="1895"/>
        <w:gridCol w:w="1108"/>
        <w:gridCol w:w="1108"/>
      </w:tblGrid>
      <w:tr w:rsidR="0066490C" w:rsidRPr="005C50FD" w14:paraId="65578BAA" w14:textId="77777777" w:rsidTr="006F776E">
        <w:trPr>
          <w:trHeight w:val="243"/>
          <w:jc w:val="center"/>
        </w:trPr>
        <w:tc>
          <w:tcPr>
            <w:tcW w:w="1895" w:type="dxa"/>
            <w:tcBorders>
              <w:top w:val="single" w:sz="12" w:space="0" w:color="000000"/>
              <w:left w:val="single" w:sz="12" w:space="0" w:color="000000"/>
              <w:bottom w:val="single" w:sz="18" w:space="0" w:color="000000"/>
              <w:right w:val="single" w:sz="18" w:space="0" w:color="000000"/>
            </w:tcBorders>
            <w:vAlign w:val="center"/>
          </w:tcPr>
          <w:p w14:paraId="5EA424E7" w14:textId="069194B1" w:rsidR="0066490C" w:rsidRPr="005C50FD" w:rsidRDefault="0066490C" w:rsidP="006F776E">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5C50FD">
              <w:rPr>
                <w:rFonts w:ascii="Verdana" w:eastAsia="Times New Roman" w:hAnsi="Verdana"/>
                <w:sz w:val="20"/>
                <w:szCs w:val="20"/>
              </w:rPr>
              <w:t>Type</w:t>
            </w:r>
          </w:p>
        </w:tc>
        <w:tc>
          <w:tcPr>
            <w:tcW w:w="1108" w:type="dxa"/>
            <w:tcBorders>
              <w:top w:val="single" w:sz="12" w:space="0" w:color="000000"/>
              <w:left w:val="single" w:sz="18" w:space="0" w:color="000000"/>
              <w:bottom w:val="single" w:sz="18" w:space="0" w:color="000000"/>
              <w:right w:val="single" w:sz="8" w:space="0" w:color="000000"/>
            </w:tcBorders>
            <w:vAlign w:val="center"/>
          </w:tcPr>
          <w:p w14:paraId="41A76690" w14:textId="383E3426" w:rsidR="0066490C" w:rsidRPr="005C50FD" w:rsidRDefault="00911197" w:rsidP="006F776E">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5C50FD">
              <w:rPr>
                <w:rFonts w:ascii="Verdana" w:eastAsia="Times New Roman" w:hAnsi="Verdana"/>
                <w:sz w:val="20"/>
                <w:szCs w:val="20"/>
              </w:rPr>
              <w:t>Share</w:t>
            </w:r>
          </w:p>
        </w:tc>
        <w:tc>
          <w:tcPr>
            <w:tcW w:w="1108" w:type="dxa"/>
            <w:tcBorders>
              <w:top w:val="single" w:sz="12" w:space="0" w:color="000000"/>
              <w:left w:val="single" w:sz="8" w:space="0" w:color="000000"/>
              <w:bottom w:val="single" w:sz="18" w:space="0" w:color="000000"/>
              <w:right w:val="single" w:sz="12" w:space="0" w:color="000000"/>
            </w:tcBorders>
            <w:vAlign w:val="center"/>
          </w:tcPr>
          <w:p w14:paraId="5A28ABE6" w14:textId="6DDB47F2" w:rsidR="0066490C" w:rsidRPr="005C50FD" w:rsidRDefault="00911197" w:rsidP="006F776E">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5C50FD">
              <w:rPr>
                <w:rFonts w:ascii="Verdana" w:eastAsia="Times New Roman" w:hAnsi="Verdana"/>
                <w:sz w:val="20"/>
                <w:szCs w:val="20"/>
              </w:rPr>
              <w:t>% Change</w:t>
            </w:r>
          </w:p>
        </w:tc>
      </w:tr>
      <w:tr w:rsidR="0066490C" w:rsidRPr="005C50FD" w14:paraId="30725F62" w14:textId="77777777" w:rsidTr="006F776E">
        <w:trPr>
          <w:trHeight w:val="243"/>
          <w:jc w:val="center"/>
        </w:trPr>
        <w:tc>
          <w:tcPr>
            <w:tcW w:w="1895" w:type="dxa"/>
            <w:tcBorders>
              <w:top w:val="single" w:sz="18" w:space="0" w:color="000000"/>
              <w:left w:val="single" w:sz="12" w:space="0" w:color="000000"/>
              <w:bottom w:val="single" w:sz="4" w:space="0" w:color="auto"/>
              <w:right w:val="single" w:sz="18" w:space="0" w:color="000000"/>
            </w:tcBorders>
            <w:vAlign w:val="center"/>
          </w:tcPr>
          <w:p w14:paraId="6A95F549" w14:textId="4A59AB7B" w:rsidR="0066490C" w:rsidRPr="005C50FD" w:rsidRDefault="00911197" w:rsidP="00272418">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Outdoor plants</w:t>
            </w:r>
          </w:p>
        </w:tc>
        <w:tc>
          <w:tcPr>
            <w:tcW w:w="1108" w:type="dxa"/>
            <w:tcBorders>
              <w:top w:val="single" w:sz="18" w:space="0" w:color="000000"/>
              <w:left w:val="single" w:sz="18" w:space="0" w:color="000000"/>
              <w:bottom w:val="single" w:sz="4" w:space="0" w:color="auto"/>
              <w:right w:val="single" w:sz="8" w:space="0" w:color="000000"/>
            </w:tcBorders>
            <w:vAlign w:val="center"/>
          </w:tcPr>
          <w:p w14:paraId="4EB440B4" w14:textId="1BACBFB4" w:rsidR="0066490C" w:rsidRPr="005C50FD" w:rsidRDefault="00911197" w:rsidP="006F776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19%</w:t>
            </w:r>
          </w:p>
        </w:tc>
        <w:tc>
          <w:tcPr>
            <w:tcW w:w="1108" w:type="dxa"/>
            <w:tcBorders>
              <w:top w:val="single" w:sz="18" w:space="0" w:color="000000"/>
              <w:left w:val="single" w:sz="8" w:space="0" w:color="000000"/>
              <w:bottom w:val="single" w:sz="4" w:space="0" w:color="auto"/>
              <w:right w:val="single" w:sz="12" w:space="0" w:color="000000"/>
            </w:tcBorders>
            <w:vAlign w:val="center"/>
          </w:tcPr>
          <w:p w14:paraId="15EFED61" w14:textId="1AD07189" w:rsidR="0066490C" w:rsidRPr="005C50FD" w:rsidRDefault="00911197" w:rsidP="006F776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+9.0%</w:t>
            </w:r>
          </w:p>
        </w:tc>
      </w:tr>
      <w:tr w:rsidR="0066490C" w:rsidRPr="005C50FD" w14:paraId="7EA94A54" w14:textId="77777777" w:rsidTr="006F776E">
        <w:trPr>
          <w:trHeight w:val="243"/>
          <w:jc w:val="center"/>
        </w:trPr>
        <w:tc>
          <w:tcPr>
            <w:tcW w:w="1895" w:type="dxa"/>
            <w:tcBorders>
              <w:top w:val="single" w:sz="4" w:space="0" w:color="auto"/>
              <w:left w:val="single" w:sz="12" w:space="0" w:color="000000"/>
              <w:bottom w:val="single" w:sz="4" w:space="0" w:color="000000"/>
              <w:right w:val="single" w:sz="18" w:space="0" w:color="000000"/>
            </w:tcBorders>
            <w:vAlign w:val="center"/>
          </w:tcPr>
          <w:p w14:paraId="2EC1EE78" w14:textId="2E89B023" w:rsidR="0066490C" w:rsidRPr="005C50FD" w:rsidRDefault="00911197" w:rsidP="00272418">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All potted plants</w:t>
            </w:r>
          </w:p>
        </w:tc>
        <w:tc>
          <w:tcPr>
            <w:tcW w:w="1108" w:type="dxa"/>
            <w:tcBorders>
              <w:top w:val="single" w:sz="4" w:space="0" w:color="auto"/>
              <w:left w:val="single" w:sz="18" w:space="0" w:color="000000"/>
              <w:bottom w:val="single" w:sz="4" w:space="0" w:color="000000"/>
              <w:right w:val="single" w:sz="8" w:space="0" w:color="000000"/>
            </w:tcBorders>
            <w:vAlign w:val="center"/>
          </w:tcPr>
          <w:p w14:paraId="00B6CF55" w14:textId="022914B3" w:rsidR="0066490C" w:rsidRPr="005C50FD" w:rsidRDefault="00911197" w:rsidP="006F776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18%</w:t>
            </w:r>
          </w:p>
        </w:tc>
        <w:tc>
          <w:tcPr>
            <w:tcW w:w="1108" w:type="dxa"/>
            <w:tcBorders>
              <w:top w:val="single" w:sz="4" w:space="0" w:color="auto"/>
              <w:left w:val="single" w:sz="8" w:space="0" w:color="000000"/>
              <w:bottom w:val="single" w:sz="4" w:space="0" w:color="000000"/>
              <w:right w:val="single" w:sz="12" w:space="0" w:color="000000"/>
            </w:tcBorders>
            <w:vAlign w:val="center"/>
          </w:tcPr>
          <w:p w14:paraId="60E65074" w14:textId="55DEAE14" w:rsidR="0066490C" w:rsidRPr="005C50FD" w:rsidRDefault="00911197" w:rsidP="006F776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+4.5%</w:t>
            </w:r>
          </w:p>
        </w:tc>
      </w:tr>
      <w:tr w:rsidR="0066490C" w:rsidRPr="005C50FD" w14:paraId="2DD60E29" w14:textId="77777777" w:rsidTr="006F776E">
        <w:trPr>
          <w:trHeight w:val="243"/>
          <w:jc w:val="center"/>
        </w:trPr>
        <w:tc>
          <w:tcPr>
            <w:tcW w:w="1895" w:type="dxa"/>
            <w:tcBorders>
              <w:top w:val="single" w:sz="4" w:space="0" w:color="auto"/>
              <w:left w:val="single" w:sz="12" w:space="0" w:color="000000"/>
              <w:bottom w:val="single" w:sz="4" w:space="0" w:color="000000"/>
              <w:right w:val="single" w:sz="18" w:space="0" w:color="000000"/>
            </w:tcBorders>
            <w:vAlign w:val="center"/>
          </w:tcPr>
          <w:p w14:paraId="0E6B5806" w14:textId="70FC17D2" w:rsidR="0066490C" w:rsidRPr="005C50FD" w:rsidRDefault="00911197" w:rsidP="00272418">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Roses</w:t>
            </w:r>
          </w:p>
        </w:tc>
        <w:tc>
          <w:tcPr>
            <w:tcW w:w="1108" w:type="dxa"/>
            <w:tcBorders>
              <w:top w:val="single" w:sz="4" w:space="0" w:color="auto"/>
              <w:left w:val="single" w:sz="18" w:space="0" w:color="000000"/>
              <w:bottom w:val="single" w:sz="4" w:space="0" w:color="000000"/>
              <w:right w:val="single" w:sz="8" w:space="0" w:color="000000"/>
            </w:tcBorders>
            <w:vAlign w:val="center"/>
          </w:tcPr>
          <w:p w14:paraId="334D94F9" w14:textId="22BE41F1" w:rsidR="0066490C" w:rsidRPr="005C50FD" w:rsidRDefault="00911197" w:rsidP="006F776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17%</w:t>
            </w:r>
          </w:p>
        </w:tc>
        <w:tc>
          <w:tcPr>
            <w:tcW w:w="1108" w:type="dxa"/>
            <w:tcBorders>
              <w:top w:val="single" w:sz="4" w:space="0" w:color="auto"/>
              <w:left w:val="single" w:sz="8" w:space="0" w:color="000000"/>
              <w:bottom w:val="single" w:sz="4" w:space="0" w:color="000000"/>
              <w:right w:val="single" w:sz="12" w:space="0" w:color="000000"/>
            </w:tcBorders>
            <w:vAlign w:val="center"/>
          </w:tcPr>
          <w:p w14:paraId="471C903B" w14:textId="70023661" w:rsidR="0066490C" w:rsidRPr="005C50FD" w:rsidRDefault="00911197" w:rsidP="006F776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+9.0%</w:t>
            </w:r>
          </w:p>
        </w:tc>
      </w:tr>
      <w:tr w:rsidR="0066490C" w:rsidRPr="005C50FD" w14:paraId="2E29EB0B" w14:textId="77777777" w:rsidTr="006F776E">
        <w:trPr>
          <w:trHeight w:val="243"/>
          <w:jc w:val="center"/>
        </w:trPr>
        <w:tc>
          <w:tcPr>
            <w:tcW w:w="1895"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3F9570B3" w14:textId="01D72469" w:rsidR="0066490C" w:rsidRPr="005C50FD" w:rsidRDefault="00911197" w:rsidP="00272418">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Bouquet</w:t>
            </w:r>
          </w:p>
        </w:tc>
        <w:tc>
          <w:tcPr>
            <w:tcW w:w="1108" w:type="dxa"/>
            <w:tcBorders>
              <w:top w:val="single" w:sz="4" w:space="0" w:color="000000"/>
              <w:left w:val="single" w:sz="18" w:space="0" w:color="000000"/>
              <w:bottom w:val="single" w:sz="4" w:space="0" w:color="000000"/>
              <w:right w:val="single" w:sz="8" w:space="0" w:color="000000"/>
            </w:tcBorders>
            <w:vAlign w:val="center"/>
          </w:tcPr>
          <w:p w14:paraId="652CD018" w14:textId="37CBC89C" w:rsidR="0066490C" w:rsidRPr="005C50FD" w:rsidRDefault="00911197" w:rsidP="006F776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16%</w:t>
            </w:r>
          </w:p>
        </w:tc>
        <w:tc>
          <w:tcPr>
            <w:tcW w:w="1108"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63116A5A" w14:textId="6A0E1FA3" w:rsidR="0066490C" w:rsidRPr="005C50FD" w:rsidRDefault="00911197" w:rsidP="006F776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+10.2%</w:t>
            </w:r>
          </w:p>
        </w:tc>
      </w:tr>
      <w:tr w:rsidR="00911197" w:rsidRPr="005C50FD" w14:paraId="01B5E05D" w14:textId="77777777" w:rsidTr="006F776E">
        <w:trPr>
          <w:trHeight w:val="243"/>
          <w:jc w:val="center"/>
        </w:trPr>
        <w:tc>
          <w:tcPr>
            <w:tcW w:w="1895"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192AD180" w14:textId="3D933481" w:rsidR="00911197" w:rsidRPr="005C50FD" w:rsidRDefault="00911197" w:rsidP="0091119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Fresh-cut</w:t>
            </w:r>
          </w:p>
        </w:tc>
        <w:tc>
          <w:tcPr>
            <w:tcW w:w="1108" w:type="dxa"/>
            <w:tcBorders>
              <w:top w:val="single" w:sz="4" w:space="0" w:color="000000"/>
              <w:left w:val="single" w:sz="18" w:space="0" w:color="000000"/>
              <w:bottom w:val="single" w:sz="4" w:space="0" w:color="000000"/>
              <w:right w:val="single" w:sz="8" w:space="0" w:color="000000"/>
            </w:tcBorders>
            <w:vAlign w:val="center"/>
          </w:tcPr>
          <w:p w14:paraId="18060B45" w14:textId="5352177F" w:rsidR="00911197" w:rsidRPr="005C50FD" w:rsidRDefault="00911197" w:rsidP="006F776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13%</w:t>
            </w:r>
          </w:p>
        </w:tc>
        <w:tc>
          <w:tcPr>
            <w:tcW w:w="1108"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1AB3E070" w14:textId="0F5C4CCA" w:rsidR="00911197" w:rsidRPr="005C50FD" w:rsidRDefault="00911197" w:rsidP="006F776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+1.9%</w:t>
            </w:r>
          </w:p>
        </w:tc>
      </w:tr>
      <w:tr w:rsidR="00911197" w:rsidRPr="005C50FD" w14:paraId="1A0AFAC8" w14:textId="77777777" w:rsidTr="006F776E">
        <w:trPr>
          <w:trHeight w:val="243"/>
          <w:jc w:val="center"/>
        </w:trPr>
        <w:tc>
          <w:tcPr>
            <w:tcW w:w="1895"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396D01B0" w14:textId="3A7AFE78" w:rsidR="00911197" w:rsidRPr="005C50FD" w:rsidRDefault="00911197" w:rsidP="0091119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All other</w:t>
            </w:r>
          </w:p>
        </w:tc>
        <w:tc>
          <w:tcPr>
            <w:tcW w:w="1108" w:type="dxa"/>
            <w:tcBorders>
              <w:top w:val="single" w:sz="4" w:space="0" w:color="000000"/>
              <w:left w:val="single" w:sz="18" w:space="0" w:color="000000"/>
              <w:bottom w:val="single" w:sz="4" w:space="0" w:color="000000"/>
              <w:right w:val="single" w:sz="8" w:space="0" w:color="000000"/>
            </w:tcBorders>
            <w:vAlign w:val="center"/>
          </w:tcPr>
          <w:p w14:paraId="6638DDE7" w14:textId="7642DB84" w:rsidR="00911197" w:rsidRPr="005C50FD" w:rsidRDefault="00911197" w:rsidP="006F776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10%</w:t>
            </w:r>
          </w:p>
        </w:tc>
        <w:tc>
          <w:tcPr>
            <w:tcW w:w="1108"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25E695BB" w14:textId="75FBE493" w:rsidR="00911197" w:rsidRPr="005C50FD" w:rsidRDefault="00911197" w:rsidP="006F776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-4.9%</w:t>
            </w:r>
          </w:p>
        </w:tc>
      </w:tr>
      <w:tr w:rsidR="00911197" w:rsidRPr="005C50FD" w14:paraId="5457DF3F" w14:textId="77777777" w:rsidTr="006F776E">
        <w:trPr>
          <w:trHeight w:val="243"/>
          <w:jc w:val="center"/>
        </w:trPr>
        <w:tc>
          <w:tcPr>
            <w:tcW w:w="1895" w:type="dxa"/>
            <w:tcBorders>
              <w:top w:val="single" w:sz="4" w:space="0" w:color="000000"/>
              <w:left w:val="single" w:sz="12" w:space="0" w:color="000000"/>
              <w:bottom w:val="single" w:sz="12" w:space="0" w:color="000000"/>
              <w:right w:val="single" w:sz="18" w:space="0" w:color="000000"/>
            </w:tcBorders>
            <w:shd w:val="clear" w:color="auto" w:fill="auto"/>
            <w:vAlign w:val="center"/>
          </w:tcPr>
          <w:p w14:paraId="324387F3" w14:textId="0A697F96" w:rsidR="00911197" w:rsidRPr="005C50FD" w:rsidRDefault="00911197" w:rsidP="0091119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Arrangements</w:t>
            </w:r>
          </w:p>
        </w:tc>
        <w:tc>
          <w:tcPr>
            <w:tcW w:w="1108" w:type="dxa"/>
            <w:tcBorders>
              <w:top w:val="single" w:sz="4" w:space="0" w:color="000000"/>
              <w:left w:val="single" w:sz="18" w:space="0" w:color="000000"/>
              <w:bottom w:val="single" w:sz="12" w:space="0" w:color="000000"/>
              <w:right w:val="single" w:sz="8" w:space="0" w:color="000000"/>
            </w:tcBorders>
            <w:vAlign w:val="center"/>
          </w:tcPr>
          <w:p w14:paraId="29115671" w14:textId="7EEBDB06" w:rsidR="00911197" w:rsidRPr="005C50FD" w:rsidRDefault="00911197" w:rsidP="006F776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8%</w:t>
            </w:r>
          </w:p>
        </w:tc>
        <w:tc>
          <w:tcPr>
            <w:tcW w:w="1108" w:type="dxa"/>
            <w:tcBorders>
              <w:top w:val="single" w:sz="4" w:space="0" w:color="000000"/>
              <w:left w:val="single" w:sz="8" w:space="0" w:color="000000"/>
              <w:bottom w:val="single" w:sz="12" w:space="0" w:color="000000"/>
              <w:right w:val="single" w:sz="12" w:space="0" w:color="000000"/>
            </w:tcBorders>
            <w:shd w:val="clear" w:color="auto" w:fill="auto"/>
            <w:vAlign w:val="center"/>
          </w:tcPr>
          <w:p w14:paraId="63C33F14" w14:textId="1A082E72" w:rsidR="00911197" w:rsidRPr="005C50FD" w:rsidRDefault="00911197" w:rsidP="006F776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+4.2%</w:t>
            </w:r>
          </w:p>
        </w:tc>
      </w:tr>
    </w:tbl>
    <w:p w14:paraId="4A1C4CD4" w14:textId="14C32C27" w:rsidR="0066490C" w:rsidRPr="005C50FD" w:rsidRDefault="0066490C" w:rsidP="00911197">
      <w:pPr>
        <w:tabs>
          <w:tab w:val="left" w:pos="2700"/>
        </w:tabs>
        <w:spacing w:after="0" w:line="240" w:lineRule="auto"/>
        <w:rPr>
          <w:rFonts w:ascii="Verdana" w:hAnsi="Verdana"/>
          <w:sz w:val="16"/>
          <w:szCs w:val="16"/>
        </w:rPr>
      </w:pPr>
      <w:r w:rsidRPr="005C50FD">
        <w:rPr>
          <w:rFonts w:ascii="Verdana" w:hAnsi="Verdana"/>
          <w:sz w:val="16"/>
          <w:szCs w:val="16"/>
        </w:rPr>
        <w:tab/>
      </w:r>
      <w:r w:rsidR="00911197" w:rsidRPr="005C50FD">
        <w:rPr>
          <w:rFonts w:ascii="Verdana" w:hAnsi="Verdana"/>
          <w:sz w:val="16"/>
          <w:szCs w:val="16"/>
        </w:rPr>
        <w:t>Winsight Grocery Business</w:t>
      </w:r>
      <w:r w:rsidRPr="005C50FD">
        <w:rPr>
          <w:rFonts w:ascii="Verdana" w:hAnsi="Verdana"/>
          <w:sz w:val="16"/>
          <w:szCs w:val="16"/>
        </w:rPr>
        <w:t xml:space="preserve">, </w:t>
      </w:r>
      <w:r w:rsidR="00911197" w:rsidRPr="005C50FD">
        <w:rPr>
          <w:rFonts w:ascii="Verdana" w:hAnsi="Verdana"/>
          <w:sz w:val="16"/>
          <w:szCs w:val="16"/>
        </w:rPr>
        <w:t>October</w:t>
      </w:r>
      <w:r w:rsidRPr="005C50FD">
        <w:rPr>
          <w:rFonts w:ascii="Verdana" w:hAnsi="Verdana"/>
          <w:sz w:val="16"/>
          <w:szCs w:val="16"/>
        </w:rPr>
        <w:t xml:space="preserve"> 201</w:t>
      </w:r>
      <w:r w:rsidR="00911197" w:rsidRPr="005C50FD">
        <w:rPr>
          <w:rFonts w:ascii="Verdana" w:hAnsi="Verdana"/>
          <w:sz w:val="16"/>
          <w:szCs w:val="16"/>
        </w:rPr>
        <w:t>8</w:t>
      </w:r>
    </w:p>
    <w:p w14:paraId="36BD8BBB" w14:textId="20A66332" w:rsidR="0066490C" w:rsidRPr="005C50FD" w:rsidRDefault="0066490C" w:rsidP="0066490C">
      <w:pPr>
        <w:spacing w:after="0" w:line="240" w:lineRule="auto"/>
        <w:ind w:left="360"/>
        <w:mirrorIndents/>
        <w:rPr>
          <w:sz w:val="20"/>
          <w:szCs w:val="20"/>
        </w:rPr>
      </w:pPr>
    </w:p>
    <w:p w14:paraId="0B5655A1" w14:textId="22980127" w:rsidR="00FA2069" w:rsidRPr="005C50FD" w:rsidRDefault="00FA2069" w:rsidP="00911197">
      <w:pPr>
        <w:spacing w:after="0" w:line="240" w:lineRule="auto"/>
        <w:contextualSpacing/>
        <w:mirrorIndents/>
        <w:jc w:val="center"/>
        <w:rPr>
          <w:b/>
          <w:color w:val="0070C0"/>
          <w:sz w:val="20"/>
          <w:szCs w:val="20"/>
        </w:rPr>
      </w:pPr>
      <w:r w:rsidRPr="005C50FD">
        <w:rPr>
          <w:b/>
          <w:color w:val="0070C0"/>
          <w:sz w:val="20"/>
          <w:szCs w:val="20"/>
        </w:rPr>
        <w:t>Optimism Across the Retail Industry</w:t>
      </w:r>
    </w:p>
    <w:p w14:paraId="0A1FBEA2" w14:textId="77777777" w:rsidR="00FA2069" w:rsidRPr="005C50FD" w:rsidRDefault="00FA2069" w:rsidP="00FA2069">
      <w:pPr>
        <w:spacing w:after="0" w:line="240" w:lineRule="auto"/>
        <w:contextualSpacing/>
        <w:mirrorIndents/>
        <w:rPr>
          <w:sz w:val="20"/>
          <w:szCs w:val="20"/>
        </w:rPr>
      </w:pPr>
    </w:p>
    <w:p w14:paraId="75811CB1" w14:textId="3952607A" w:rsidR="00911197" w:rsidRPr="005C50FD" w:rsidRDefault="00911197" w:rsidP="00911197">
      <w:pPr>
        <w:pStyle w:val="ListParagraph"/>
        <w:numPr>
          <w:ilvl w:val="0"/>
          <w:numId w:val="4"/>
        </w:numPr>
        <w:spacing w:after="0" w:line="240" w:lineRule="auto"/>
        <w:mirrorIndents/>
        <w:rPr>
          <w:sz w:val="20"/>
          <w:szCs w:val="20"/>
        </w:rPr>
      </w:pPr>
      <w:r w:rsidRPr="005C50FD">
        <w:rPr>
          <w:sz w:val="20"/>
          <w:szCs w:val="20"/>
        </w:rPr>
        <w:t>With 68% of Society of American Florists members stating they experienced increased Valentine’s Day sales, and 60% increased Mother’s Day sales, it shouldn’t be surprising that 48% were optimistic and 16% very optimistic about their total 2018 sales.</w:t>
      </w:r>
    </w:p>
    <w:p w14:paraId="4ABEDAD3" w14:textId="027816E6" w:rsidR="00911197" w:rsidRPr="005C50FD" w:rsidRDefault="00911197" w:rsidP="00FA2069">
      <w:pPr>
        <w:spacing w:after="0" w:line="240" w:lineRule="auto"/>
        <w:contextualSpacing/>
        <w:mirrorIndents/>
        <w:rPr>
          <w:sz w:val="20"/>
          <w:szCs w:val="20"/>
        </w:rPr>
      </w:pPr>
    </w:p>
    <w:p w14:paraId="541325F5" w14:textId="770B783C" w:rsidR="00911197" w:rsidRPr="005C50FD" w:rsidRDefault="00911197" w:rsidP="00911197">
      <w:pPr>
        <w:pStyle w:val="ListParagraph"/>
        <w:numPr>
          <w:ilvl w:val="0"/>
          <w:numId w:val="4"/>
        </w:numPr>
        <w:spacing w:after="0" w:line="240" w:lineRule="auto"/>
        <w:mirrorIndents/>
        <w:rPr>
          <w:sz w:val="20"/>
          <w:szCs w:val="20"/>
        </w:rPr>
      </w:pPr>
      <w:r w:rsidRPr="005C50FD">
        <w:rPr>
          <w:sz w:val="20"/>
          <w:szCs w:val="20"/>
        </w:rPr>
        <w:t xml:space="preserve">Among the survey respondents, </w:t>
      </w:r>
      <w:r w:rsidR="000171D4" w:rsidRPr="005C50FD">
        <w:rPr>
          <w:sz w:val="20"/>
          <w:szCs w:val="20"/>
        </w:rPr>
        <w:t xml:space="preserve">75% of growers were optimistic, 25% very optimistic; 71% of </w:t>
      </w:r>
      <w:r w:rsidR="006F776E">
        <w:rPr>
          <w:sz w:val="20"/>
          <w:szCs w:val="20"/>
        </w:rPr>
        <w:t xml:space="preserve">the </w:t>
      </w:r>
      <w:r w:rsidR="000171D4" w:rsidRPr="005C50FD">
        <w:rPr>
          <w:sz w:val="20"/>
          <w:szCs w:val="20"/>
        </w:rPr>
        <w:t>wholesale/supplier/importer segment were optimistic, 14% very optimistic; and 46% of retailers were optimistic</w:t>
      </w:r>
      <w:r w:rsidR="006F776E">
        <w:rPr>
          <w:sz w:val="20"/>
          <w:szCs w:val="20"/>
        </w:rPr>
        <w:t>,</w:t>
      </w:r>
      <w:r w:rsidR="000171D4" w:rsidRPr="005C50FD">
        <w:rPr>
          <w:sz w:val="20"/>
          <w:szCs w:val="20"/>
        </w:rPr>
        <w:t xml:space="preserve"> 15% very optimistic.</w:t>
      </w:r>
    </w:p>
    <w:p w14:paraId="66011EE1" w14:textId="540A85AA" w:rsidR="000171D4" w:rsidRPr="005C50FD" w:rsidRDefault="000171D4" w:rsidP="000171D4">
      <w:pPr>
        <w:pStyle w:val="ListParagraph"/>
        <w:spacing w:after="0" w:line="240" w:lineRule="auto"/>
        <w:ind w:left="360"/>
        <w:mirrorIndents/>
        <w:rPr>
          <w:sz w:val="20"/>
          <w:szCs w:val="20"/>
        </w:rPr>
      </w:pPr>
    </w:p>
    <w:p w14:paraId="32B6A220" w14:textId="74E9CF80" w:rsidR="000171D4" w:rsidRPr="005C50FD" w:rsidRDefault="000171D4" w:rsidP="000171D4">
      <w:pPr>
        <w:pStyle w:val="ListParagraph"/>
        <w:numPr>
          <w:ilvl w:val="0"/>
          <w:numId w:val="4"/>
        </w:numPr>
        <w:spacing w:after="0" w:line="240" w:lineRule="auto"/>
        <w:mirrorIndents/>
        <w:rPr>
          <w:sz w:val="20"/>
          <w:szCs w:val="20"/>
        </w:rPr>
      </w:pPr>
      <w:r w:rsidRPr="005C50FD">
        <w:rPr>
          <w:sz w:val="20"/>
          <w:szCs w:val="20"/>
        </w:rPr>
        <w:t>All sectors of the floriculture industry have reason to continue their optimistic outlook, as Arizton, a marketing research organization, has forecast the US floral gifting market will increase 6.02% annually through 2023, reaching a total of $15.79 billion.</w:t>
      </w:r>
    </w:p>
    <w:p w14:paraId="518EEDAF" w14:textId="77777777" w:rsidR="00911197" w:rsidRPr="005C50FD" w:rsidRDefault="00911197" w:rsidP="00FA2069">
      <w:pPr>
        <w:spacing w:after="0" w:line="240" w:lineRule="auto"/>
        <w:contextualSpacing/>
        <w:mirrorIndents/>
        <w:rPr>
          <w:sz w:val="20"/>
          <w:szCs w:val="20"/>
        </w:rPr>
      </w:pPr>
    </w:p>
    <w:p w14:paraId="67812994" w14:textId="77777777" w:rsidR="00EA27DE" w:rsidRPr="005C50FD" w:rsidRDefault="00EA27DE" w:rsidP="000171D4">
      <w:pPr>
        <w:pStyle w:val="Header"/>
        <w:contextualSpacing/>
        <w:jc w:val="center"/>
        <w:rPr>
          <w:rFonts w:ascii="Verdana" w:hAnsi="Verdana"/>
          <w:b/>
          <w:sz w:val="20"/>
          <w:szCs w:val="20"/>
        </w:rPr>
      </w:pPr>
      <w:r w:rsidRPr="005C50FD">
        <w:rPr>
          <w:rFonts w:ascii="Verdana" w:hAnsi="Verdana"/>
          <w:b/>
          <w:sz w:val="20"/>
          <w:szCs w:val="20"/>
        </w:rPr>
        <w:t xml:space="preserve">Society of American Florists Members’ 2018 </w:t>
      </w:r>
    </w:p>
    <w:p w14:paraId="01A3E638" w14:textId="0262689D" w:rsidR="000171D4" w:rsidRPr="005C50FD" w:rsidRDefault="00EA27DE" w:rsidP="000171D4">
      <w:pPr>
        <w:pStyle w:val="Header"/>
        <w:contextualSpacing/>
        <w:jc w:val="center"/>
        <w:rPr>
          <w:rFonts w:ascii="Verdana" w:hAnsi="Verdana"/>
          <w:b/>
          <w:sz w:val="20"/>
          <w:szCs w:val="20"/>
        </w:rPr>
      </w:pPr>
      <w:r w:rsidRPr="005C50FD">
        <w:rPr>
          <w:rFonts w:ascii="Verdana" w:hAnsi="Verdana"/>
          <w:b/>
          <w:sz w:val="20"/>
          <w:szCs w:val="20"/>
        </w:rPr>
        <w:t>Sales Expectations</w:t>
      </w:r>
      <w:r w:rsidR="000171D4" w:rsidRPr="005C50FD">
        <w:rPr>
          <w:rFonts w:ascii="Verdana" w:hAnsi="Verdana"/>
          <w:b/>
          <w:sz w:val="20"/>
          <w:szCs w:val="20"/>
        </w:rPr>
        <w:t xml:space="preserve">, by </w:t>
      </w:r>
      <w:r w:rsidRPr="005C50FD">
        <w:rPr>
          <w:rFonts w:ascii="Verdana" w:hAnsi="Verdana"/>
          <w:b/>
          <w:sz w:val="20"/>
          <w:szCs w:val="20"/>
        </w:rPr>
        <w:t>Region</w:t>
      </w:r>
      <w:r w:rsidR="000171D4" w:rsidRPr="005C50FD">
        <w:rPr>
          <w:rFonts w:ascii="Verdana" w:hAnsi="Verdana"/>
          <w:b/>
          <w:sz w:val="20"/>
          <w:szCs w:val="20"/>
        </w:rPr>
        <w:t xml:space="preserve">, </w:t>
      </w:r>
      <w:r w:rsidRPr="005C50FD">
        <w:rPr>
          <w:rFonts w:ascii="Verdana" w:hAnsi="Verdana"/>
          <w:b/>
          <w:sz w:val="20"/>
          <w:szCs w:val="20"/>
        </w:rPr>
        <w:t xml:space="preserve">January </w:t>
      </w:r>
      <w:r w:rsidR="000171D4" w:rsidRPr="005C50FD">
        <w:rPr>
          <w:rFonts w:ascii="Verdana" w:hAnsi="Verdana"/>
          <w:b/>
          <w:sz w:val="20"/>
          <w:szCs w:val="20"/>
        </w:rPr>
        <w:t>2018</w:t>
      </w:r>
    </w:p>
    <w:tbl>
      <w:tblPr>
        <w:tblW w:w="6930" w:type="dxa"/>
        <w:jc w:val="center"/>
        <w:tblBorders>
          <w:left w:val="single" w:sz="8" w:space="0" w:color="000000"/>
          <w:right w:val="single" w:sz="8" w:space="0" w:color="000000"/>
        </w:tblBorders>
        <w:tblLayout w:type="fixed"/>
        <w:tblLook w:val="0000" w:firstRow="0" w:lastRow="0" w:firstColumn="0" w:lastColumn="0" w:noHBand="0" w:noVBand="0"/>
      </w:tblPr>
      <w:tblGrid>
        <w:gridCol w:w="1530"/>
        <w:gridCol w:w="1350"/>
        <w:gridCol w:w="1350"/>
        <w:gridCol w:w="1350"/>
        <w:gridCol w:w="1350"/>
      </w:tblGrid>
      <w:tr w:rsidR="00EA27DE" w:rsidRPr="005C50FD" w14:paraId="64D52294" w14:textId="77777777" w:rsidTr="00EA27DE">
        <w:trPr>
          <w:trHeight w:val="243"/>
          <w:jc w:val="center"/>
        </w:trPr>
        <w:tc>
          <w:tcPr>
            <w:tcW w:w="1530" w:type="dxa"/>
            <w:tcBorders>
              <w:top w:val="single" w:sz="12" w:space="0" w:color="000000"/>
              <w:left w:val="single" w:sz="12" w:space="0" w:color="000000"/>
              <w:bottom w:val="single" w:sz="18" w:space="0" w:color="000000"/>
              <w:right w:val="single" w:sz="18" w:space="0" w:color="000000"/>
            </w:tcBorders>
            <w:vAlign w:val="center"/>
          </w:tcPr>
          <w:p w14:paraId="07C39112" w14:textId="3694565A" w:rsidR="00EA27DE" w:rsidRPr="005C50FD" w:rsidRDefault="00EA27DE" w:rsidP="00EA27DE">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5C50FD">
              <w:rPr>
                <w:rFonts w:ascii="Verdana" w:eastAsia="Times New Roman" w:hAnsi="Verdana"/>
                <w:sz w:val="20"/>
                <w:szCs w:val="20"/>
              </w:rPr>
              <w:t>Region</w:t>
            </w:r>
          </w:p>
        </w:tc>
        <w:tc>
          <w:tcPr>
            <w:tcW w:w="1350" w:type="dxa"/>
            <w:tcBorders>
              <w:top w:val="single" w:sz="12" w:space="0" w:color="000000"/>
              <w:left w:val="single" w:sz="18" w:space="0" w:color="000000"/>
              <w:bottom w:val="single" w:sz="18" w:space="0" w:color="000000"/>
              <w:right w:val="single" w:sz="8" w:space="0" w:color="000000"/>
            </w:tcBorders>
            <w:vAlign w:val="center"/>
          </w:tcPr>
          <w:p w14:paraId="74A10A48" w14:textId="17296A7C" w:rsidR="00EA27DE" w:rsidRPr="005C50FD" w:rsidRDefault="00EA27DE" w:rsidP="00EA27DE">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5C50FD">
              <w:rPr>
                <w:rFonts w:ascii="Verdana" w:eastAsia="Times New Roman" w:hAnsi="Verdana"/>
                <w:sz w:val="20"/>
                <w:szCs w:val="20"/>
              </w:rPr>
              <w:t>Very Optimistic</w:t>
            </w:r>
          </w:p>
        </w:tc>
        <w:tc>
          <w:tcPr>
            <w:tcW w:w="1350" w:type="dxa"/>
            <w:tcBorders>
              <w:top w:val="single" w:sz="12" w:space="0" w:color="000000"/>
              <w:left w:val="single" w:sz="8" w:space="0" w:color="000000"/>
              <w:bottom w:val="single" w:sz="18" w:space="0" w:color="000000"/>
              <w:right w:val="single" w:sz="8" w:space="0" w:color="000000"/>
            </w:tcBorders>
            <w:vAlign w:val="center"/>
          </w:tcPr>
          <w:p w14:paraId="6B617D7D" w14:textId="6EFC69DE" w:rsidR="00EA27DE" w:rsidRPr="005C50FD" w:rsidRDefault="00EA27DE" w:rsidP="00EA27DE">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5C50FD">
              <w:rPr>
                <w:rFonts w:ascii="Verdana" w:eastAsia="Times New Roman" w:hAnsi="Verdana"/>
                <w:sz w:val="20"/>
                <w:szCs w:val="20"/>
              </w:rPr>
              <w:t>Optimistic</w:t>
            </w:r>
          </w:p>
        </w:tc>
        <w:tc>
          <w:tcPr>
            <w:tcW w:w="1350" w:type="dxa"/>
            <w:tcBorders>
              <w:top w:val="single" w:sz="12" w:space="0" w:color="000000"/>
              <w:left w:val="single" w:sz="8" w:space="0" w:color="000000"/>
              <w:bottom w:val="single" w:sz="18" w:space="0" w:color="000000"/>
              <w:right w:val="single" w:sz="8" w:space="0" w:color="000000"/>
            </w:tcBorders>
            <w:vAlign w:val="center"/>
          </w:tcPr>
          <w:p w14:paraId="4F5FAD01" w14:textId="4C08E361" w:rsidR="00EA27DE" w:rsidRPr="005C50FD" w:rsidRDefault="00EA27DE" w:rsidP="00EA27DE">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5C50FD">
              <w:rPr>
                <w:rFonts w:ascii="Verdana" w:eastAsia="Times New Roman" w:hAnsi="Verdana"/>
                <w:sz w:val="20"/>
                <w:szCs w:val="20"/>
              </w:rPr>
              <w:t>Neutral/ Uncertain</w:t>
            </w:r>
          </w:p>
        </w:tc>
        <w:tc>
          <w:tcPr>
            <w:tcW w:w="1350" w:type="dxa"/>
            <w:tcBorders>
              <w:top w:val="single" w:sz="12" w:space="0" w:color="000000"/>
              <w:left w:val="single" w:sz="8" w:space="0" w:color="000000"/>
              <w:bottom w:val="single" w:sz="18" w:space="0" w:color="000000"/>
              <w:right w:val="single" w:sz="12" w:space="0" w:color="000000"/>
            </w:tcBorders>
            <w:vAlign w:val="center"/>
          </w:tcPr>
          <w:p w14:paraId="61145A32" w14:textId="1037FCC2" w:rsidR="00EA27DE" w:rsidRPr="005C50FD" w:rsidRDefault="00EA27DE" w:rsidP="00EA27DE">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5C50FD">
              <w:rPr>
                <w:rFonts w:ascii="Verdana" w:eastAsia="Times New Roman" w:hAnsi="Verdana"/>
                <w:sz w:val="20"/>
                <w:szCs w:val="20"/>
              </w:rPr>
              <w:t>Pessimistic</w:t>
            </w:r>
          </w:p>
        </w:tc>
      </w:tr>
      <w:tr w:rsidR="00EA27DE" w:rsidRPr="005C50FD" w14:paraId="7FFBD18B" w14:textId="77777777" w:rsidTr="006F776E">
        <w:trPr>
          <w:trHeight w:val="243"/>
          <w:jc w:val="center"/>
        </w:trPr>
        <w:tc>
          <w:tcPr>
            <w:tcW w:w="1530" w:type="dxa"/>
            <w:tcBorders>
              <w:top w:val="single" w:sz="18" w:space="0" w:color="000000"/>
              <w:left w:val="single" w:sz="12" w:space="0" w:color="000000"/>
              <w:bottom w:val="single" w:sz="4" w:space="0" w:color="auto"/>
              <w:right w:val="single" w:sz="18" w:space="0" w:color="000000"/>
            </w:tcBorders>
            <w:vAlign w:val="center"/>
          </w:tcPr>
          <w:p w14:paraId="5F9C6F9D" w14:textId="6E727515" w:rsidR="00EA27DE" w:rsidRPr="005C50FD" w:rsidRDefault="00EA27DE" w:rsidP="00272418">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New England</w:t>
            </w:r>
          </w:p>
        </w:tc>
        <w:tc>
          <w:tcPr>
            <w:tcW w:w="1350" w:type="dxa"/>
            <w:tcBorders>
              <w:top w:val="single" w:sz="18" w:space="0" w:color="000000"/>
              <w:left w:val="single" w:sz="18" w:space="0" w:color="000000"/>
              <w:bottom w:val="single" w:sz="4" w:space="0" w:color="auto"/>
              <w:right w:val="single" w:sz="8" w:space="0" w:color="000000"/>
            </w:tcBorders>
            <w:vAlign w:val="center"/>
          </w:tcPr>
          <w:p w14:paraId="0F72D0CD" w14:textId="54A25AEC" w:rsidR="00EA27DE" w:rsidRPr="005C50FD" w:rsidRDefault="00EA27DE" w:rsidP="006F776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8%</w:t>
            </w:r>
          </w:p>
        </w:tc>
        <w:tc>
          <w:tcPr>
            <w:tcW w:w="1350" w:type="dxa"/>
            <w:tcBorders>
              <w:top w:val="single" w:sz="18" w:space="0" w:color="000000"/>
              <w:left w:val="single" w:sz="8" w:space="0" w:color="000000"/>
              <w:bottom w:val="single" w:sz="4" w:space="0" w:color="auto"/>
              <w:right w:val="single" w:sz="8" w:space="0" w:color="000000"/>
            </w:tcBorders>
            <w:vAlign w:val="center"/>
          </w:tcPr>
          <w:p w14:paraId="3475AD0F" w14:textId="218066EA" w:rsidR="00EA27DE" w:rsidRPr="005C50FD" w:rsidRDefault="00EA27DE" w:rsidP="006F776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58%</w:t>
            </w:r>
          </w:p>
        </w:tc>
        <w:tc>
          <w:tcPr>
            <w:tcW w:w="1350" w:type="dxa"/>
            <w:tcBorders>
              <w:top w:val="single" w:sz="18" w:space="0" w:color="000000"/>
              <w:left w:val="single" w:sz="8" w:space="0" w:color="000000"/>
              <w:bottom w:val="single" w:sz="4" w:space="0" w:color="auto"/>
              <w:right w:val="single" w:sz="8" w:space="0" w:color="000000"/>
            </w:tcBorders>
            <w:vAlign w:val="center"/>
          </w:tcPr>
          <w:p w14:paraId="63AB5CD0" w14:textId="130127C5" w:rsidR="00EA27DE" w:rsidRPr="005C50FD" w:rsidRDefault="00EA27DE" w:rsidP="006F776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29%</w:t>
            </w:r>
          </w:p>
        </w:tc>
        <w:tc>
          <w:tcPr>
            <w:tcW w:w="1350" w:type="dxa"/>
            <w:tcBorders>
              <w:top w:val="single" w:sz="18" w:space="0" w:color="000000"/>
              <w:left w:val="single" w:sz="8" w:space="0" w:color="000000"/>
              <w:bottom w:val="single" w:sz="4" w:space="0" w:color="auto"/>
              <w:right w:val="single" w:sz="12" w:space="0" w:color="000000"/>
            </w:tcBorders>
            <w:vAlign w:val="center"/>
          </w:tcPr>
          <w:p w14:paraId="42C0F821" w14:textId="1BAD95C2" w:rsidR="00EA27DE" w:rsidRPr="005C50FD" w:rsidRDefault="00EA27DE" w:rsidP="006F776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5%</w:t>
            </w:r>
          </w:p>
        </w:tc>
      </w:tr>
      <w:tr w:rsidR="00EA27DE" w:rsidRPr="005C50FD" w14:paraId="45660865" w14:textId="77777777" w:rsidTr="006F776E">
        <w:trPr>
          <w:trHeight w:val="243"/>
          <w:jc w:val="center"/>
        </w:trPr>
        <w:tc>
          <w:tcPr>
            <w:tcW w:w="1530" w:type="dxa"/>
            <w:tcBorders>
              <w:top w:val="single" w:sz="4" w:space="0" w:color="auto"/>
              <w:left w:val="single" w:sz="12" w:space="0" w:color="000000"/>
              <w:bottom w:val="single" w:sz="4" w:space="0" w:color="000000"/>
              <w:right w:val="single" w:sz="18" w:space="0" w:color="000000"/>
            </w:tcBorders>
            <w:vAlign w:val="center"/>
          </w:tcPr>
          <w:p w14:paraId="7AA2AD3D" w14:textId="5238A1D9" w:rsidR="00EA27DE" w:rsidRPr="005C50FD" w:rsidRDefault="00EA27DE" w:rsidP="00272418">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Midwest</w:t>
            </w:r>
          </w:p>
        </w:tc>
        <w:tc>
          <w:tcPr>
            <w:tcW w:w="1350" w:type="dxa"/>
            <w:tcBorders>
              <w:top w:val="single" w:sz="4" w:space="0" w:color="auto"/>
              <w:left w:val="single" w:sz="18" w:space="0" w:color="000000"/>
              <w:bottom w:val="single" w:sz="4" w:space="0" w:color="000000"/>
              <w:right w:val="single" w:sz="8" w:space="0" w:color="000000"/>
            </w:tcBorders>
            <w:vAlign w:val="center"/>
          </w:tcPr>
          <w:p w14:paraId="4DDD0528" w14:textId="0DB37D0B" w:rsidR="00EA27DE" w:rsidRPr="005C50FD" w:rsidRDefault="00EA27DE" w:rsidP="006F776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15%</w:t>
            </w:r>
          </w:p>
        </w:tc>
        <w:tc>
          <w:tcPr>
            <w:tcW w:w="1350" w:type="dxa"/>
            <w:tcBorders>
              <w:top w:val="single" w:sz="4" w:space="0" w:color="auto"/>
              <w:left w:val="single" w:sz="8" w:space="0" w:color="000000"/>
              <w:bottom w:val="single" w:sz="4" w:space="0" w:color="000000"/>
              <w:right w:val="single" w:sz="8" w:space="0" w:color="000000"/>
            </w:tcBorders>
            <w:vAlign w:val="center"/>
          </w:tcPr>
          <w:p w14:paraId="51FA6BF5" w14:textId="29FF4862" w:rsidR="00EA27DE" w:rsidRPr="005C50FD" w:rsidRDefault="00EA27DE" w:rsidP="006F776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40%</w:t>
            </w:r>
          </w:p>
        </w:tc>
        <w:tc>
          <w:tcPr>
            <w:tcW w:w="1350" w:type="dxa"/>
            <w:tcBorders>
              <w:top w:val="single" w:sz="4" w:space="0" w:color="auto"/>
              <w:left w:val="single" w:sz="8" w:space="0" w:color="000000"/>
              <w:bottom w:val="single" w:sz="4" w:space="0" w:color="000000"/>
              <w:right w:val="single" w:sz="8" w:space="0" w:color="000000"/>
            </w:tcBorders>
            <w:vAlign w:val="center"/>
          </w:tcPr>
          <w:p w14:paraId="6D3AD7F9" w14:textId="4007F20B" w:rsidR="00EA27DE" w:rsidRPr="005C50FD" w:rsidRDefault="00EA27DE" w:rsidP="006F776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37%</w:t>
            </w:r>
          </w:p>
        </w:tc>
        <w:tc>
          <w:tcPr>
            <w:tcW w:w="1350" w:type="dxa"/>
            <w:tcBorders>
              <w:top w:val="single" w:sz="4" w:space="0" w:color="auto"/>
              <w:left w:val="single" w:sz="8" w:space="0" w:color="000000"/>
              <w:bottom w:val="single" w:sz="4" w:space="0" w:color="000000"/>
              <w:right w:val="single" w:sz="12" w:space="0" w:color="000000"/>
            </w:tcBorders>
            <w:vAlign w:val="center"/>
          </w:tcPr>
          <w:p w14:paraId="331B9D15" w14:textId="477450F3" w:rsidR="00EA27DE" w:rsidRPr="005C50FD" w:rsidRDefault="00EA27DE" w:rsidP="006F776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8%</w:t>
            </w:r>
          </w:p>
        </w:tc>
      </w:tr>
      <w:tr w:rsidR="00EA27DE" w:rsidRPr="005C50FD" w14:paraId="01C7507C" w14:textId="77777777" w:rsidTr="006F776E">
        <w:trPr>
          <w:trHeight w:val="243"/>
          <w:jc w:val="center"/>
        </w:trPr>
        <w:tc>
          <w:tcPr>
            <w:tcW w:w="1530"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3A1EEC54" w14:textId="034793D3" w:rsidR="00EA27DE" w:rsidRPr="005C50FD" w:rsidRDefault="00EA27DE" w:rsidP="00272418">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South</w:t>
            </w:r>
          </w:p>
        </w:tc>
        <w:tc>
          <w:tcPr>
            <w:tcW w:w="1350" w:type="dxa"/>
            <w:tcBorders>
              <w:top w:val="single" w:sz="4" w:space="0" w:color="000000"/>
              <w:left w:val="single" w:sz="18" w:space="0" w:color="000000"/>
              <w:bottom w:val="single" w:sz="4" w:space="0" w:color="000000"/>
              <w:right w:val="single" w:sz="8" w:space="0" w:color="000000"/>
            </w:tcBorders>
            <w:vAlign w:val="center"/>
          </w:tcPr>
          <w:p w14:paraId="4F5D2E4D" w14:textId="4ABA493D" w:rsidR="00EA27DE" w:rsidRPr="005C50FD" w:rsidRDefault="00EA27DE" w:rsidP="006F776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26%</w:t>
            </w:r>
          </w:p>
        </w:tc>
        <w:tc>
          <w:tcPr>
            <w:tcW w:w="1350" w:type="dxa"/>
            <w:tcBorders>
              <w:top w:val="single" w:sz="4" w:space="0" w:color="000000"/>
              <w:left w:val="single" w:sz="8" w:space="0" w:color="000000"/>
              <w:bottom w:val="single" w:sz="4" w:space="0" w:color="000000"/>
              <w:right w:val="single" w:sz="8" w:space="0" w:color="000000"/>
            </w:tcBorders>
            <w:vAlign w:val="center"/>
          </w:tcPr>
          <w:p w14:paraId="6E19C162" w14:textId="5EF658C3" w:rsidR="00EA27DE" w:rsidRPr="005C50FD" w:rsidRDefault="00EA27DE" w:rsidP="006F776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45%</w:t>
            </w:r>
          </w:p>
        </w:tc>
        <w:tc>
          <w:tcPr>
            <w:tcW w:w="1350" w:type="dxa"/>
            <w:tcBorders>
              <w:top w:val="single" w:sz="4" w:space="0" w:color="000000"/>
              <w:left w:val="single" w:sz="8" w:space="0" w:color="000000"/>
              <w:bottom w:val="single" w:sz="4" w:space="0" w:color="000000"/>
              <w:right w:val="single" w:sz="8" w:space="0" w:color="000000"/>
            </w:tcBorders>
            <w:vAlign w:val="center"/>
          </w:tcPr>
          <w:p w14:paraId="0F0A7D4A" w14:textId="7E96C4E5" w:rsidR="00EA27DE" w:rsidRPr="005C50FD" w:rsidRDefault="00EA27DE" w:rsidP="006F776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21%</w:t>
            </w:r>
          </w:p>
        </w:tc>
        <w:tc>
          <w:tcPr>
            <w:tcW w:w="1350" w:type="dxa"/>
            <w:tcBorders>
              <w:top w:val="single" w:sz="4" w:space="0" w:color="000000"/>
              <w:left w:val="single" w:sz="8" w:space="0" w:color="000000"/>
              <w:bottom w:val="single" w:sz="4" w:space="0" w:color="000000"/>
              <w:right w:val="single" w:sz="12" w:space="0" w:color="000000"/>
            </w:tcBorders>
            <w:shd w:val="clear" w:color="auto" w:fill="auto"/>
            <w:vAlign w:val="center"/>
          </w:tcPr>
          <w:p w14:paraId="44C62D5E" w14:textId="71045E66" w:rsidR="00EA27DE" w:rsidRPr="005C50FD" w:rsidRDefault="00EA27DE" w:rsidP="006F776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8%</w:t>
            </w:r>
          </w:p>
        </w:tc>
      </w:tr>
      <w:tr w:rsidR="00EA27DE" w:rsidRPr="005C50FD" w14:paraId="32CB4972" w14:textId="77777777" w:rsidTr="006F776E">
        <w:trPr>
          <w:trHeight w:val="243"/>
          <w:jc w:val="center"/>
        </w:trPr>
        <w:tc>
          <w:tcPr>
            <w:tcW w:w="1530" w:type="dxa"/>
            <w:tcBorders>
              <w:top w:val="single" w:sz="4" w:space="0" w:color="000000"/>
              <w:left w:val="single" w:sz="12" w:space="0" w:color="000000"/>
              <w:bottom w:val="single" w:sz="12" w:space="0" w:color="000000"/>
              <w:right w:val="single" w:sz="18" w:space="0" w:color="000000"/>
            </w:tcBorders>
            <w:shd w:val="clear" w:color="auto" w:fill="auto"/>
            <w:vAlign w:val="center"/>
          </w:tcPr>
          <w:p w14:paraId="566756A6" w14:textId="7C5C6831" w:rsidR="00EA27DE" w:rsidRPr="005C50FD" w:rsidRDefault="00EA27DE" w:rsidP="00272418">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West</w:t>
            </w:r>
          </w:p>
        </w:tc>
        <w:tc>
          <w:tcPr>
            <w:tcW w:w="1350" w:type="dxa"/>
            <w:tcBorders>
              <w:top w:val="single" w:sz="4" w:space="0" w:color="000000"/>
              <w:left w:val="single" w:sz="18" w:space="0" w:color="000000"/>
              <w:bottom w:val="single" w:sz="12" w:space="0" w:color="000000"/>
              <w:right w:val="single" w:sz="8" w:space="0" w:color="000000"/>
            </w:tcBorders>
            <w:vAlign w:val="center"/>
          </w:tcPr>
          <w:p w14:paraId="55740196" w14:textId="659453BC" w:rsidR="00EA27DE" w:rsidRPr="005C50FD" w:rsidRDefault="00EA27DE" w:rsidP="006F776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13%</w:t>
            </w:r>
          </w:p>
        </w:tc>
        <w:tc>
          <w:tcPr>
            <w:tcW w:w="1350" w:type="dxa"/>
            <w:tcBorders>
              <w:top w:val="single" w:sz="4" w:space="0" w:color="000000"/>
              <w:left w:val="single" w:sz="8" w:space="0" w:color="000000"/>
              <w:bottom w:val="single" w:sz="12" w:space="0" w:color="000000"/>
              <w:right w:val="single" w:sz="8" w:space="0" w:color="000000"/>
            </w:tcBorders>
            <w:vAlign w:val="center"/>
          </w:tcPr>
          <w:p w14:paraId="04A1EFE5" w14:textId="7579EDF2" w:rsidR="00EA27DE" w:rsidRPr="005C50FD" w:rsidRDefault="00EA27DE" w:rsidP="006F776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44%</w:t>
            </w:r>
          </w:p>
        </w:tc>
        <w:tc>
          <w:tcPr>
            <w:tcW w:w="1350" w:type="dxa"/>
            <w:tcBorders>
              <w:top w:val="single" w:sz="4" w:space="0" w:color="000000"/>
              <w:left w:val="single" w:sz="8" w:space="0" w:color="000000"/>
              <w:bottom w:val="single" w:sz="12" w:space="0" w:color="000000"/>
              <w:right w:val="single" w:sz="8" w:space="0" w:color="000000"/>
            </w:tcBorders>
            <w:vAlign w:val="center"/>
          </w:tcPr>
          <w:p w14:paraId="4AE1465C" w14:textId="785DF216" w:rsidR="00EA27DE" w:rsidRPr="005C50FD" w:rsidRDefault="00EA27DE" w:rsidP="006F776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27%</w:t>
            </w:r>
          </w:p>
        </w:tc>
        <w:tc>
          <w:tcPr>
            <w:tcW w:w="1350" w:type="dxa"/>
            <w:tcBorders>
              <w:top w:val="single" w:sz="4" w:space="0" w:color="000000"/>
              <w:left w:val="single" w:sz="8" w:space="0" w:color="000000"/>
              <w:bottom w:val="single" w:sz="12" w:space="0" w:color="000000"/>
              <w:right w:val="single" w:sz="12" w:space="0" w:color="000000"/>
            </w:tcBorders>
            <w:shd w:val="clear" w:color="auto" w:fill="auto"/>
            <w:vAlign w:val="center"/>
          </w:tcPr>
          <w:p w14:paraId="5E6DBBD2" w14:textId="2024FD99" w:rsidR="00EA27DE" w:rsidRPr="005C50FD" w:rsidRDefault="00EA27DE" w:rsidP="006F776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12%</w:t>
            </w:r>
          </w:p>
        </w:tc>
      </w:tr>
    </w:tbl>
    <w:p w14:paraId="3BCD724E" w14:textId="450B0D8E" w:rsidR="000171D4" w:rsidRPr="005C50FD" w:rsidRDefault="000171D4" w:rsidP="00EA27DE">
      <w:pPr>
        <w:tabs>
          <w:tab w:val="left" w:pos="1170"/>
        </w:tabs>
        <w:spacing w:after="0" w:line="240" w:lineRule="auto"/>
        <w:rPr>
          <w:rFonts w:ascii="Verdana" w:hAnsi="Verdana"/>
          <w:sz w:val="16"/>
          <w:szCs w:val="16"/>
        </w:rPr>
      </w:pPr>
      <w:r w:rsidRPr="005C50FD">
        <w:rPr>
          <w:rFonts w:ascii="Verdana" w:hAnsi="Verdana"/>
          <w:sz w:val="16"/>
          <w:szCs w:val="16"/>
        </w:rPr>
        <w:tab/>
      </w:r>
      <w:r w:rsidR="00EA27DE" w:rsidRPr="005C50FD">
        <w:rPr>
          <w:rFonts w:ascii="Verdana" w:hAnsi="Verdana"/>
          <w:sz w:val="16"/>
          <w:szCs w:val="16"/>
        </w:rPr>
        <w:t>Society of American Florists</w:t>
      </w:r>
      <w:r w:rsidRPr="005C50FD">
        <w:rPr>
          <w:rFonts w:ascii="Verdana" w:hAnsi="Verdana"/>
          <w:sz w:val="16"/>
          <w:szCs w:val="16"/>
        </w:rPr>
        <w:t xml:space="preserve">, </w:t>
      </w:r>
      <w:r w:rsidR="00EA27DE" w:rsidRPr="005C50FD">
        <w:rPr>
          <w:rFonts w:ascii="Verdana" w:hAnsi="Verdana"/>
          <w:sz w:val="16"/>
          <w:szCs w:val="16"/>
        </w:rPr>
        <w:t>January</w:t>
      </w:r>
      <w:r w:rsidRPr="005C50FD">
        <w:rPr>
          <w:rFonts w:ascii="Verdana" w:hAnsi="Verdana"/>
          <w:sz w:val="16"/>
          <w:szCs w:val="16"/>
        </w:rPr>
        <w:t xml:space="preserve"> 201</w:t>
      </w:r>
      <w:r w:rsidR="00EA27DE" w:rsidRPr="005C50FD">
        <w:rPr>
          <w:rFonts w:ascii="Verdana" w:hAnsi="Verdana"/>
          <w:sz w:val="16"/>
          <w:szCs w:val="16"/>
        </w:rPr>
        <w:t>8</w:t>
      </w:r>
    </w:p>
    <w:p w14:paraId="7EE108B7" w14:textId="634D464D" w:rsidR="00FA2069" w:rsidRPr="005C50FD" w:rsidRDefault="00FA2069" w:rsidP="00F7283F">
      <w:pPr>
        <w:spacing w:after="0" w:line="240" w:lineRule="auto"/>
        <w:contextualSpacing/>
        <w:mirrorIndents/>
        <w:jc w:val="center"/>
        <w:rPr>
          <w:b/>
          <w:color w:val="0070C0"/>
          <w:sz w:val="20"/>
          <w:szCs w:val="20"/>
        </w:rPr>
      </w:pPr>
      <w:r w:rsidRPr="005C50FD">
        <w:rPr>
          <w:b/>
          <w:color w:val="0070C0"/>
          <w:sz w:val="20"/>
          <w:szCs w:val="20"/>
        </w:rPr>
        <w:lastRenderedPageBreak/>
        <w:t>Colorful Trends to Attract More Shoppers</w:t>
      </w:r>
      <w:bookmarkStart w:id="0" w:name="_GoBack"/>
      <w:bookmarkEnd w:id="0"/>
    </w:p>
    <w:p w14:paraId="7881425A" w14:textId="77777777" w:rsidR="00F94CE8" w:rsidRPr="005C50FD" w:rsidRDefault="00F94CE8" w:rsidP="00FA2069">
      <w:pPr>
        <w:pStyle w:val="NoSpacing"/>
        <w:contextualSpacing/>
        <w:mirrorIndents/>
        <w:rPr>
          <w:sz w:val="20"/>
          <w:szCs w:val="20"/>
        </w:rPr>
      </w:pPr>
    </w:p>
    <w:p w14:paraId="11DB62D2" w14:textId="5EC20428" w:rsidR="00F94CE8" w:rsidRPr="005C50FD" w:rsidRDefault="00F7283F" w:rsidP="00F7283F">
      <w:pPr>
        <w:pStyle w:val="NoSpacing"/>
        <w:numPr>
          <w:ilvl w:val="0"/>
          <w:numId w:val="5"/>
        </w:numPr>
        <w:contextualSpacing/>
        <w:mirrorIndents/>
        <w:rPr>
          <w:sz w:val="20"/>
          <w:szCs w:val="20"/>
        </w:rPr>
      </w:pPr>
      <w:r w:rsidRPr="005C50FD">
        <w:rPr>
          <w:sz w:val="20"/>
          <w:szCs w:val="20"/>
        </w:rPr>
        <w:t xml:space="preserve">According to </w:t>
      </w:r>
      <w:r w:rsidRPr="005C50FD">
        <w:rPr>
          <w:i/>
          <w:sz w:val="20"/>
          <w:szCs w:val="20"/>
        </w:rPr>
        <w:t>Florist Review</w:t>
      </w:r>
      <w:r w:rsidRPr="005C50FD">
        <w:rPr>
          <w:sz w:val="20"/>
          <w:szCs w:val="20"/>
        </w:rPr>
        <w:t>’s American Floral Trends 2018</w:t>
      </w:r>
      <w:r w:rsidR="0062736B" w:rsidRPr="005C50FD">
        <w:rPr>
          <w:rFonts w:ascii="Verdana" w:hAnsi="Verdana"/>
          <w:sz w:val="20"/>
          <w:szCs w:val="20"/>
        </w:rPr>
        <w:t>–</w:t>
      </w:r>
      <w:r w:rsidR="0062736B" w:rsidRPr="005C50FD">
        <w:rPr>
          <w:sz w:val="20"/>
          <w:szCs w:val="20"/>
        </w:rPr>
        <w:t>2019, a major floral trend is “hanami,</w:t>
      </w:r>
      <w:r w:rsidR="006855F2" w:rsidRPr="005C50FD">
        <w:rPr>
          <w:sz w:val="20"/>
          <w:szCs w:val="20"/>
        </w:rPr>
        <w:t>”</w:t>
      </w:r>
      <w:r w:rsidR="0062736B" w:rsidRPr="005C50FD">
        <w:rPr>
          <w:sz w:val="20"/>
          <w:szCs w:val="20"/>
        </w:rPr>
        <w:t xml:space="preserve"> or Japanese for “flower viewing.” It refers to the enjoyment of flowers’ beauty, especially cherry </w:t>
      </w:r>
      <w:r w:rsidR="006855F2" w:rsidRPr="005C50FD">
        <w:rPr>
          <w:sz w:val="20"/>
          <w:szCs w:val="20"/>
        </w:rPr>
        <w:t xml:space="preserve">blossoms </w:t>
      </w:r>
      <w:r w:rsidR="0062736B" w:rsidRPr="005C50FD">
        <w:rPr>
          <w:sz w:val="20"/>
          <w:szCs w:val="20"/>
        </w:rPr>
        <w:t xml:space="preserve">and sometimes </w:t>
      </w:r>
      <w:r w:rsidR="006855F2" w:rsidRPr="005C50FD">
        <w:rPr>
          <w:sz w:val="20"/>
          <w:szCs w:val="20"/>
        </w:rPr>
        <w:t xml:space="preserve">those from </w:t>
      </w:r>
      <w:r w:rsidR="0062736B" w:rsidRPr="005C50FD">
        <w:rPr>
          <w:sz w:val="20"/>
          <w:szCs w:val="20"/>
        </w:rPr>
        <w:t>plum trees.</w:t>
      </w:r>
    </w:p>
    <w:p w14:paraId="286AC9F6" w14:textId="77777777" w:rsidR="00F94CE8" w:rsidRPr="005C50FD" w:rsidRDefault="00F94CE8" w:rsidP="00FA2069">
      <w:pPr>
        <w:pStyle w:val="NoSpacing"/>
        <w:contextualSpacing/>
        <w:mirrorIndents/>
        <w:rPr>
          <w:sz w:val="20"/>
          <w:szCs w:val="20"/>
        </w:rPr>
      </w:pPr>
    </w:p>
    <w:p w14:paraId="23D2BAA2" w14:textId="3470887F" w:rsidR="00F94CE8" w:rsidRPr="005C50FD" w:rsidRDefault="0062736B" w:rsidP="0062736B">
      <w:pPr>
        <w:pStyle w:val="NoSpacing"/>
        <w:numPr>
          <w:ilvl w:val="0"/>
          <w:numId w:val="5"/>
        </w:numPr>
        <w:contextualSpacing/>
        <w:mirrorIndents/>
        <w:rPr>
          <w:sz w:val="20"/>
          <w:szCs w:val="20"/>
        </w:rPr>
      </w:pPr>
      <w:r w:rsidRPr="005C50FD">
        <w:rPr>
          <w:sz w:val="20"/>
          <w:szCs w:val="20"/>
        </w:rPr>
        <w:t>“Crescendo” is another trend in the report, which relates to a subdued color palette of gray-lavender with complementary natural elements, such as organics, light wood tones and herbals, such as basil.</w:t>
      </w:r>
    </w:p>
    <w:p w14:paraId="664EB1A4" w14:textId="77777777" w:rsidR="00F94CE8" w:rsidRPr="005C50FD" w:rsidRDefault="00F94CE8" w:rsidP="00FA2069">
      <w:pPr>
        <w:pStyle w:val="NoSpacing"/>
        <w:contextualSpacing/>
        <w:mirrorIndents/>
        <w:rPr>
          <w:sz w:val="20"/>
          <w:szCs w:val="20"/>
        </w:rPr>
      </w:pPr>
    </w:p>
    <w:p w14:paraId="7401C3C8" w14:textId="685B3B2F" w:rsidR="00F94CE8" w:rsidRPr="005C50FD" w:rsidRDefault="0062736B" w:rsidP="0062736B">
      <w:pPr>
        <w:pStyle w:val="NoSpacing"/>
        <w:numPr>
          <w:ilvl w:val="0"/>
          <w:numId w:val="5"/>
        </w:numPr>
        <w:contextualSpacing/>
        <w:mirrorIndents/>
        <w:rPr>
          <w:sz w:val="20"/>
          <w:szCs w:val="20"/>
        </w:rPr>
      </w:pPr>
      <w:r w:rsidRPr="005C50FD">
        <w:rPr>
          <w:sz w:val="20"/>
          <w:szCs w:val="20"/>
        </w:rPr>
        <w:t>Flower</w:t>
      </w:r>
      <w:r w:rsidR="00E24860" w:rsidRPr="005C50FD">
        <w:rPr>
          <w:sz w:val="20"/>
          <w:szCs w:val="20"/>
        </w:rPr>
        <w:t xml:space="preserve"> </w:t>
      </w:r>
      <w:r w:rsidRPr="005C50FD">
        <w:rPr>
          <w:sz w:val="20"/>
          <w:szCs w:val="20"/>
        </w:rPr>
        <w:t>Trends</w:t>
      </w:r>
      <w:r w:rsidR="00E24860" w:rsidRPr="005C50FD">
        <w:rPr>
          <w:sz w:val="20"/>
          <w:szCs w:val="20"/>
        </w:rPr>
        <w:t xml:space="preserve"> </w:t>
      </w:r>
      <w:r w:rsidRPr="005C50FD">
        <w:rPr>
          <w:sz w:val="20"/>
          <w:szCs w:val="20"/>
        </w:rPr>
        <w:t>Forecast is highlighting the colors and elements of the forest, with ferns, fungi, pods, berries and mushrooms. Textured flowers, such as anemones, orchids and yarrow can be added to this trend palette.</w:t>
      </w:r>
    </w:p>
    <w:p w14:paraId="02C0BC62" w14:textId="77777777" w:rsidR="00F94CE8" w:rsidRPr="005C50FD" w:rsidRDefault="00F94CE8" w:rsidP="00FA2069">
      <w:pPr>
        <w:pStyle w:val="NoSpacing"/>
        <w:contextualSpacing/>
        <w:mirrorIndents/>
        <w:rPr>
          <w:sz w:val="20"/>
          <w:szCs w:val="20"/>
        </w:rPr>
      </w:pPr>
    </w:p>
    <w:p w14:paraId="2A713BFB" w14:textId="07F4C6B4" w:rsidR="0062736B" w:rsidRPr="005C50FD" w:rsidRDefault="006855F2" w:rsidP="0062736B">
      <w:pPr>
        <w:pStyle w:val="Header"/>
        <w:contextualSpacing/>
        <w:jc w:val="center"/>
        <w:rPr>
          <w:rFonts w:ascii="Verdana" w:hAnsi="Verdana"/>
          <w:b/>
          <w:sz w:val="20"/>
          <w:szCs w:val="20"/>
        </w:rPr>
      </w:pPr>
      <w:r w:rsidRPr="005C50FD">
        <w:rPr>
          <w:rFonts w:ascii="Verdana" w:hAnsi="Verdana"/>
          <w:b/>
          <w:sz w:val="20"/>
          <w:szCs w:val="20"/>
        </w:rPr>
        <w:t xml:space="preserve">Comparison of </w:t>
      </w:r>
      <w:r w:rsidR="0062736B" w:rsidRPr="005C50FD">
        <w:rPr>
          <w:rFonts w:ascii="Verdana" w:hAnsi="Verdana"/>
          <w:b/>
          <w:sz w:val="20"/>
          <w:szCs w:val="20"/>
        </w:rPr>
        <w:t xml:space="preserve">Valentine’s Day and Mother’s Day </w:t>
      </w:r>
      <w:r w:rsidRPr="005C50FD">
        <w:rPr>
          <w:rFonts w:ascii="Verdana" w:hAnsi="Verdana"/>
          <w:b/>
          <w:sz w:val="20"/>
          <w:szCs w:val="20"/>
        </w:rPr>
        <w:t>2018 Floral Purchases</w:t>
      </w:r>
    </w:p>
    <w:tbl>
      <w:tblPr>
        <w:tblW w:w="8190" w:type="dxa"/>
        <w:jc w:val="center"/>
        <w:tblBorders>
          <w:left w:val="single" w:sz="8" w:space="0" w:color="000000"/>
          <w:right w:val="single" w:sz="8" w:space="0" w:color="000000"/>
        </w:tblBorders>
        <w:tblLayout w:type="fixed"/>
        <w:tblLook w:val="0000" w:firstRow="0" w:lastRow="0" w:firstColumn="0" w:lastColumn="0" w:noHBand="0" w:noVBand="0"/>
      </w:tblPr>
      <w:tblGrid>
        <w:gridCol w:w="3015"/>
        <w:gridCol w:w="1097"/>
        <w:gridCol w:w="2998"/>
        <w:gridCol w:w="1080"/>
      </w:tblGrid>
      <w:tr w:rsidR="006855F2" w:rsidRPr="005C50FD" w14:paraId="4A646631" w14:textId="77777777" w:rsidTr="006855F2">
        <w:trPr>
          <w:trHeight w:val="243"/>
          <w:jc w:val="center"/>
        </w:trPr>
        <w:tc>
          <w:tcPr>
            <w:tcW w:w="3015" w:type="dxa"/>
            <w:tcBorders>
              <w:top w:val="single" w:sz="12" w:space="0" w:color="000000"/>
              <w:left w:val="single" w:sz="12" w:space="0" w:color="000000"/>
              <w:bottom w:val="single" w:sz="18" w:space="0" w:color="000000"/>
              <w:right w:val="single" w:sz="8" w:space="0" w:color="000000"/>
            </w:tcBorders>
            <w:vAlign w:val="center"/>
          </w:tcPr>
          <w:p w14:paraId="5516D3AA" w14:textId="107DD90E" w:rsidR="006855F2" w:rsidRPr="005C50FD" w:rsidRDefault="006855F2" w:rsidP="006855F2">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5C50FD">
              <w:rPr>
                <w:rFonts w:ascii="Verdana" w:eastAsia="Times New Roman" w:hAnsi="Verdana"/>
                <w:sz w:val="20"/>
                <w:szCs w:val="20"/>
              </w:rPr>
              <w:t>Valentine’s Day</w:t>
            </w:r>
          </w:p>
        </w:tc>
        <w:tc>
          <w:tcPr>
            <w:tcW w:w="1097" w:type="dxa"/>
            <w:tcBorders>
              <w:top w:val="single" w:sz="12" w:space="0" w:color="000000"/>
              <w:left w:val="single" w:sz="8" w:space="0" w:color="000000"/>
              <w:bottom w:val="single" w:sz="18" w:space="0" w:color="000000"/>
              <w:right w:val="single" w:sz="18" w:space="0" w:color="auto"/>
            </w:tcBorders>
            <w:vAlign w:val="center"/>
          </w:tcPr>
          <w:p w14:paraId="67C30589" w14:textId="5331E942" w:rsidR="0062736B" w:rsidRPr="005C50FD" w:rsidRDefault="006855F2" w:rsidP="00272418">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5C50FD">
              <w:rPr>
                <w:rFonts w:ascii="Verdana" w:eastAsia="Times New Roman" w:hAnsi="Verdana"/>
                <w:sz w:val="20"/>
                <w:szCs w:val="20"/>
              </w:rPr>
              <w:t>Percent</w:t>
            </w:r>
          </w:p>
        </w:tc>
        <w:tc>
          <w:tcPr>
            <w:tcW w:w="2998" w:type="dxa"/>
            <w:tcBorders>
              <w:top w:val="single" w:sz="12" w:space="0" w:color="000000"/>
              <w:left w:val="single" w:sz="18" w:space="0" w:color="auto"/>
              <w:bottom w:val="single" w:sz="18" w:space="0" w:color="000000"/>
              <w:right w:val="single" w:sz="8" w:space="0" w:color="000000"/>
            </w:tcBorders>
            <w:vAlign w:val="center"/>
          </w:tcPr>
          <w:p w14:paraId="3FB83E5F" w14:textId="44298F19" w:rsidR="0062736B" w:rsidRPr="005C50FD" w:rsidRDefault="006855F2" w:rsidP="00272418">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5C50FD">
              <w:rPr>
                <w:rFonts w:ascii="Verdana" w:eastAsia="Times New Roman" w:hAnsi="Verdana"/>
                <w:sz w:val="20"/>
                <w:szCs w:val="20"/>
              </w:rPr>
              <w:t>Mother’s Day</w:t>
            </w:r>
          </w:p>
        </w:tc>
        <w:tc>
          <w:tcPr>
            <w:tcW w:w="1080" w:type="dxa"/>
            <w:tcBorders>
              <w:top w:val="single" w:sz="12" w:space="0" w:color="000000"/>
              <w:left w:val="single" w:sz="8" w:space="0" w:color="000000"/>
              <w:bottom w:val="single" w:sz="18" w:space="0" w:color="000000"/>
              <w:right w:val="single" w:sz="12" w:space="0" w:color="000000"/>
            </w:tcBorders>
            <w:vAlign w:val="center"/>
          </w:tcPr>
          <w:p w14:paraId="1A3DA80B" w14:textId="39D77271" w:rsidR="0062736B" w:rsidRPr="005C50FD" w:rsidRDefault="006855F2" w:rsidP="00272418">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5C50FD">
              <w:rPr>
                <w:rFonts w:ascii="Verdana" w:eastAsia="Times New Roman" w:hAnsi="Verdana"/>
                <w:sz w:val="20"/>
                <w:szCs w:val="20"/>
              </w:rPr>
              <w:t>Percent</w:t>
            </w:r>
          </w:p>
        </w:tc>
      </w:tr>
      <w:tr w:rsidR="006855F2" w:rsidRPr="005C50FD" w14:paraId="3E478521" w14:textId="77777777" w:rsidTr="006855F2">
        <w:trPr>
          <w:trHeight w:val="243"/>
          <w:jc w:val="center"/>
        </w:trPr>
        <w:tc>
          <w:tcPr>
            <w:tcW w:w="3015" w:type="dxa"/>
            <w:tcBorders>
              <w:top w:val="single" w:sz="18" w:space="0" w:color="000000"/>
              <w:left w:val="single" w:sz="12" w:space="0" w:color="000000"/>
              <w:bottom w:val="single" w:sz="4" w:space="0" w:color="auto"/>
              <w:right w:val="single" w:sz="8" w:space="0" w:color="000000"/>
            </w:tcBorders>
            <w:vAlign w:val="center"/>
          </w:tcPr>
          <w:p w14:paraId="08B1487C" w14:textId="660B11FB" w:rsidR="0062736B" w:rsidRPr="005C50FD" w:rsidRDefault="006855F2" w:rsidP="00272418">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Roses</w:t>
            </w:r>
          </w:p>
        </w:tc>
        <w:tc>
          <w:tcPr>
            <w:tcW w:w="1097" w:type="dxa"/>
            <w:tcBorders>
              <w:top w:val="single" w:sz="18" w:space="0" w:color="000000"/>
              <w:left w:val="single" w:sz="8" w:space="0" w:color="000000"/>
              <w:bottom w:val="single" w:sz="4" w:space="0" w:color="auto"/>
              <w:right w:val="single" w:sz="18" w:space="0" w:color="auto"/>
            </w:tcBorders>
            <w:vAlign w:val="center"/>
          </w:tcPr>
          <w:p w14:paraId="143678FE" w14:textId="7DBE4BA4" w:rsidR="0062736B" w:rsidRPr="005C50FD" w:rsidRDefault="006855F2" w:rsidP="00272418">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84%</w:t>
            </w:r>
          </w:p>
        </w:tc>
        <w:tc>
          <w:tcPr>
            <w:tcW w:w="2998" w:type="dxa"/>
            <w:tcBorders>
              <w:top w:val="single" w:sz="18" w:space="0" w:color="000000"/>
              <w:left w:val="single" w:sz="18" w:space="0" w:color="auto"/>
              <w:bottom w:val="single" w:sz="4" w:space="0" w:color="000000"/>
              <w:right w:val="single" w:sz="8" w:space="0" w:color="000000"/>
            </w:tcBorders>
            <w:vAlign w:val="center"/>
          </w:tcPr>
          <w:p w14:paraId="08CC67BE" w14:textId="4775920F" w:rsidR="0062736B" w:rsidRPr="005C50FD" w:rsidRDefault="006855F2" w:rsidP="00272418">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Cut flowers</w:t>
            </w:r>
          </w:p>
        </w:tc>
        <w:tc>
          <w:tcPr>
            <w:tcW w:w="1080" w:type="dxa"/>
            <w:tcBorders>
              <w:top w:val="single" w:sz="18" w:space="0" w:color="000000"/>
              <w:left w:val="single" w:sz="8" w:space="0" w:color="000000"/>
              <w:bottom w:val="single" w:sz="4" w:space="0" w:color="000000"/>
              <w:right w:val="single" w:sz="12" w:space="0" w:color="000000"/>
            </w:tcBorders>
            <w:vAlign w:val="center"/>
          </w:tcPr>
          <w:p w14:paraId="24B491BB" w14:textId="026C9E2B" w:rsidR="0062736B" w:rsidRPr="005C50FD" w:rsidRDefault="006855F2" w:rsidP="00272418">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83%</w:t>
            </w:r>
          </w:p>
        </w:tc>
      </w:tr>
      <w:tr w:rsidR="006855F2" w:rsidRPr="005C50FD" w14:paraId="1C1CC654" w14:textId="77777777" w:rsidTr="006855F2">
        <w:trPr>
          <w:trHeight w:val="243"/>
          <w:jc w:val="center"/>
        </w:trPr>
        <w:tc>
          <w:tcPr>
            <w:tcW w:w="3015" w:type="dxa"/>
            <w:tcBorders>
              <w:top w:val="single" w:sz="4" w:space="0" w:color="auto"/>
              <w:left w:val="single" w:sz="12" w:space="0" w:color="000000"/>
              <w:bottom w:val="single" w:sz="4" w:space="0" w:color="000000"/>
              <w:right w:val="single" w:sz="8" w:space="0" w:color="000000"/>
            </w:tcBorders>
            <w:vAlign w:val="center"/>
          </w:tcPr>
          <w:p w14:paraId="43CCF7B3" w14:textId="1ADB978A" w:rsidR="0062736B" w:rsidRPr="005C50FD" w:rsidRDefault="006855F2" w:rsidP="00272418">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Other than roses</w:t>
            </w:r>
          </w:p>
        </w:tc>
        <w:tc>
          <w:tcPr>
            <w:tcW w:w="1097" w:type="dxa"/>
            <w:tcBorders>
              <w:top w:val="single" w:sz="4" w:space="0" w:color="auto"/>
              <w:left w:val="single" w:sz="8" w:space="0" w:color="000000"/>
              <w:bottom w:val="single" w:sz="4" w:space="0" w:color="000000"/>
              <w:right w:val="single" w:sz="18" w:space="0" w:color="auto"/>
            </w:tcBorders>
            <w:vAlign w:val="center"/>
          </w:tcPr>
          <w:p w14:paraId="29475762" w14:textId="1E4C0AAF" w:rsidR="0062736B" w:rsidRPr="005C50FD" w:rsidRDefault="006855F2" w:rsidP="00272418">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41%</w:t>
            </w:r>
          </w:p>
        </w:tc>
        <w:tc>
          <w:tcPr>
            <w:tcW w:w="2998" w:type="dxa"/>
            <w:tcBorders>
              <w:top w:val="single" w:sz="4" w:space="0" w:color="000000"/>
              <w:left w:val="single" w:sz="18" w:space="0" w:color="auto"/>
              <w:bottom w:val="single" w:sz="4" w:space="0" w:color="000000"/>
              <w:right w:val="single" w:sz="8" w:space="0" w:color="000000"/>
            </w:tcBorders>
            <w:vAlign w:val="center"/>
          </w:tcPr>
          <w:p w14:paraId="30F01DC6" w14:textId="2875B52F" w:rsidR="0062736B" w:rsidRPr="005C50FD" w:rsidRDefault="006855F2" w:rsidP="00272418">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Outdoor bedding, garden or container plants</w:t>
            </w:r>
          </w:p>
        </w:tc>
        <w:tc>
          <w:tcPr>
            <w:tcW w:w="1080" w:type="dxa"/>
            <w:tcBorders>
              <w:top w:val="single" w:sz="4" w:space="0" w:color="000000"/>
              <w:left w:val="single" w:sz="8" w:space="0" w:color="000000"/>
              <w:bottom w:val="single" w:sz="4" w:space="0" w:color="000000"/>
              <w:right w:val="single" w:sz="12" w:space="0" w:color="000000"/>
            </w:tcBorders>
            <w:vAlign w:val="center"/>
          </w:tcPr>
          <w:p w14:paraId="06B3003D" w14:textId="0E865BD7" w:rsidR="0062736B" w:rsidRPr="005C50FD" w:rsidRDefault="006855F2" w:rsidP="00272418">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43%</w:t>
            </w:r>
          </w:p>
        </w:tc>
      </w:tr>
      <w:tr w:rsidR="006855F2" w:rsidRPr="005C50FD" w14:paraId="31EEEB85" w14:textId="77777777" w:rsidTr="006855F2">
        <w:trPr>
          <w:trHeight w:val="243"/>
          <w:jc w:val="center"/>
        </w:trPr>
        <w:tc>
          <w:tcPr>
            <w:tcW w:w="3015" w:type="dxa"/>
            <w:tcBorders>
              <w:top w:val="single" w:sz="4" w:space="0" w:color="auto"/>
              <w:left w:val="single" w:sz="12" w:space="0" w:color="000000"/>
              <w:bottom w:val="single" w:sz="4" w:space="0" w:color="000000"/>
              <w:right w:val="single" w:sz="8" w:space="0" w:color="000000"/>
            </w:tcBorders>
            <w:vAlign w:val="center"/>
          </w:tcPr>
          <w:p w14:paraId="16F157C4" w14:textId="3A16470E" w:rsidR="0062736B" w:rsidRPr="005C50FD" w:rsidRDefault="006855F2" w:rsidP="00272418">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Mixed variety of flowers</w:t>
            </w:r>
          </w:p>
        </w:tc>
        <w:tc>
          <w:tcPr>
            <w:tcW w:w="1097" w:type="dxa"/>
            <w:tcBorders>
              <w:top w:val="single" w:sz="4" w:space="0" w:color="auto"/>
              <w:left w:val="single" w:sz="8" w:space="0" w:color="000000"/>
              <w:bottom w:val="single" w:sz="4" w:space="0" w:color="000000"/>
              <w:right w:val="single" w:sz="18" w:space="0" w:color="auto"/>
            </w:tcBorders>
            <w:vAlign w:val="center"/>
          </w:tcPr>
          <w:p w14:paraId="43C0A61C" w14:textId="631F7539" w:rsidR="0062736B" w:rsidRPr="005C50FD" w:rsidRDefault="006855F2" w:rsidP="00272418">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36%</w:t>
            </w:r>
          </w:p>
        </w:tc>
        <w:tc>
          <w:tcPr>
            <w:tcW w:w="2998" w:type="dxa"/>
            <w:tcBorders>
              <w:top w:val="single" w:sz="4" w:space="0" w:color="000000"/>
              <w:left w:val="single" w:sz="18" w:space="0" w:color="auto"/>
              <w:bottom w:val="single" w:sz="4" w:space="0" w:color="000000"/>
              <w:right w:val="single" w:sz="8" w:space="0" w:color="000000"/>
            </w:tcBorders>
            <w:vAlign w:val="center"/>
          </w:tcPr>
          <w:p w14:paraId="50B16AF2" w14:textId="6A5D846C" w:rsidR="0062736B" w:rsidRPr="005C50FD" w:rsidRDefault="006855F2" w:rsidP="00272418">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Flowering household plants</w:t>
            </w:r>
          </w:p>
        </w:tc>
        <w:tc>
          <w:tcPr>
            <w:tcW w:w="1080" w:type="dxa"/>
            <w:tcBorders>
              <w:top w:val="single" w:sz="4" w:space="0" w:color="000000"/>
              <w:left w:val="single" w:sz="8" w:space="0" w:color="000000"/>
              <w:bottom w:val="single" w:sz="4" w:space="0" w:color="000000"/>
              <w:right w:val="single" w:sz="12" w:space="0" w:color="000000"/>
            </w:tcBorders>
            <w:vAlign w:val="center"/>
          </w:tcPr>
          <w:p w14:paraId="41609989" w14:textId="58AE226F" w:rsidR="0062736B" w:rsidRPr="005C50FD" w:rsidRDefault="006855F2" w:rsidP="00272418">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40%</w:t>
            </w:r>
          </w:p>
        </w:tc>
      </w:tr>
      <w:tr w:rsidR="006855F2" w:rsidRPr="005C50FD" w14:paraId="739A2545" w14:textId="77777777" w:rsidTr="006855F2">
        <w:trPr>
          <w:trHeight w:val="243"/>
          <w:jc w:val="center"/>
        </w:trPr>
        <w:tc>
          <w:tcPr>
            <w:tcW w:w="3015" w:type="dxa"/>
            <w:tcBorders>
              <w:top w:val="single" w:sz="4" w:space="0" w:color="000000"/>
              <w:left w:val="single" w:sz="12" w:space="0" w:color="000000"/>
              <w:bottom w:val="single" w:sz="12" w:space="0" w:color="000000"/>
              <w:right w:val="single" w:sz="8" w:space="0" w:color="000000"/>
            </w:tcBorders>
            <w:shd w:val="clear" w:color="auto" w:fill="auto"/>
            <w:vAlign w:val="center"/>
          </w:tcPr>
          <w:p w14:paraId="35CE237C" w14:textId="21829499" w:rsidR="0062736B" w:rsidRPr="005C50FD" w:rsidRDefault="006855F2" w:rsidP="00272418">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Plants</w:t>
            </w:r>
          </w:p>
        </w:tc>
        <w:tc>
          <w:tcPr>
            <w:tcW w:w="1097" w:type="dxa"/>
            <w:tcBorders>
              <w:top w:val="single" w:sz="4" w:space="0" w:color="000000"/>
              <w:left w:val="single" w:sz="8" w:space="0" w:color="000000"/>
              <w:bottom w:val="single" w:sz="12" w:space="0" w:color="000000"/>
              <w:right w:val="single" w:sz="18" w:space="0" w:color="auto"/>
            </w:tcBorders>
            <w:shd w:val="clear" w:color="auto" w:fill="auto"/>
            <w:vAlign w:val="center"/>
          </w:tcPr>
          <w:p w14:paraId="4034218A" w14:textId="20485FAB" w:rsidR="0062736B" w:rsidRPr="005C50FD" w:rsidRDefault="006855F2" w:rsidP="00272418">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24%</w:t>
            </w:r>
          </w:p>
        </w:tc>
        <w:tc>
          <w:tcPr>
            <w:tcW w:w="2998" w:type="dxa"/>
            <w:tcBorders>
              <w:top w:val="single" w:sz="4" w:space="0" w:color="000000"/>
              <w:left w:val="single" w:sz="18" w:space="0" w:color="auto"/>
              <w:bottom w:val="single" w:sz="12" w:space="0" w:color="000000"/>
              <w:right w:val="single" w:sz="8" w:space="0" w:color="000000"/>
            </w:tcBorders>
            <w:shd w:val="clear" w:color="auto" w:fill="BFBFBF" w:themeFill="background1" w:themeFillShade="BF"/>
            <w:vAlign w:val="center"/>
          </w:tcPr>
          <w:p w14:paraId="2AF78EA4" w14:textId="77777777" w:rsidR="0062736B" w:rsidRPr="005C50FD" w:rsidRDefault="0062736B" w:rsidP="00272418">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p>
        </w:tc>
        <w:tc>
          <w:tcPr>
            <w:tcW w:w="1080" w:type="dxa"/>
            <w:tcBorders>
              <w:top w:val="single" w:sz="4" w:space="0" w:color="000000"/>
              <w:left w:val="single" w:sz="8" w:space="0" w:color="000000"/>
              <w:bottom w:val="single" w:sz="12" w:space="0" w:color="000000"/>
              <w:right w:val="single" w:sz="12" w:space="0" w:color="000000"/>
            </w:tcBorders>
            <w:shd w:val="clear" w:color="auto" w:fill="BFBFBF" w:themeFill="background1" w:themeFillShade="BF"/>
            <w:vAlign w:val="center"/>
          </w:tcPr>
          <w:p w14:paraId="7627E571" w14:textId="77777777" w:rsidR="0062736B" w:rsidRPr="005C50FD" w:rsidRDefault="0062736B" w:rsidP="00272418">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p>
        </w:tc>
      </w:tr>
    </w:tbl>
    <w:p w14:paraId="7B94C6C4" w14:textId="05EB53D5" w:rsidR="0062736B" w:rsidRPr="005C50FD" w:rsidRDefault="0062736B" w:rsidP="006855F2">
      <w:pPr>
        <w:tabs>
          <w:tab w:val="left" w:pos="630"/>
        </w:tabs>
        <w:spacing w:after="0" w:line="240" w:lineRule="auto"/>
        <w:contextualSpacing/>
        <w:mirrorIndents/>
        <w:rPr>
          <w:sz w:val="20"/>
          <w:szCs w:val="20"/>
        </w:rPr>
      </w:pPr>
      <w:r w:rsidRPr="005C50FD">
        <w:rPr>
          <w:rFonts w:ascii="Verdana" w:hAnsi="Verdana"/>
          <w:sz w:val="16"/>
          <w:szCs w:val="16"/>
        </w:rPr>
        <w:tab/>
      </w:r>
      <w:r w:rsidR="006855F2" w:rsidRPr="005C50FD">
        <w:rPr>
          <w:rFonts w:ascii="Verdana" w:hAnsi="Verdana"/>
          <w:sz w:val="16"/>
          <w:szCs w:val="16"/>
        </w:rPr>
        <w:t>Society of American Florists</w:t>
      </w:r>
      <w:r w:rsidRPr="005C50FD">
        <w:rPr>
          <w:rFonts w:ascii="Verdana" w:hAnsi="Verdana"/>
          <w:sz w:val="16"/>
          <w:szCs w:val="16"/>
        </w:rPr>
        <w:t>, J</w:t>
      </w:r>
      <w:r w:rsidR="006855F2" w:rsidRPr="005C50FD">
        <w:rPr>
          <w:rFonts w:ascii="Verdana" w:hAnsi="Verdana"/>
          <w:sz w:val="16"/>
          <w:szCs w:val="16"/>
        </w:rPr>
        <w:t>anuary and May</w:t>
      </w:r>
      <w:r w:rsidRPr="005C50FD">
        <w:rPr>
          <w:rFonts w:ascii="Verdana" w:hAnsi="Verdana"/>
          <w:sz w:val="16"/>
          <w:szCs w:val="16"/>
        </w:rPr>
        <w:t xml:space="preserve"> 2018          </w:t>
      </w:r>
    </w:p>
    <w:p w14:paraId="37079E4B" w14:textId="77777777" w:rsidR="00F94CE8" w:rsidRPr="005C50FD" w:rsidRDefault="00F94CE8" w:rsidP="00FA2069">
      <w:pPr>
        <w:pStyle w:val="NoSpacing"/>
        <w:contextualSpacing/>
        <w:mirrorIndents/>
        <w:rPr>
          <w:sz w:val="20"/>
          <w:szCs w:val="20"/>
        </w:rPr>
      </w:pPr>
    </w:p>
    <w:p w14:paraId="3A5080E9" w14:textId="77777777" w:rsidR="00F94CE8" w:rsidRPr="005C50FD" w:rsidRDefault="00F94CE8" w:rsidP="00FA2069">
      <w:pPr>
        <w:pStyle w:val="NoSpacing"/>
        <w:contextualSpacing/>
        <w:mirrorIndents/>
        <w:rPr>
          <w:sz w:val="20"/>
          <w:szCs w:val="20"/>
        </w:rPr>
      </w:pPr>
    </w:p>
    <w:p w14:paraId="3D6E3712" w14:textId="77777777" w:rsidR="00F94CE8" w:rsidRPr="005C50FD" w:rsidRDefault="00F94CE8" w:rsidP="00FA2069">
      <w:pPr>
        <w:pStyle w:val="NoSpacing"/>
        <w:contextualSpacing/>
        <w:mirrorIndents/>
        <w:rPr>
          <w:sz w:val="20"/>
          <w:szCs w:val="20"/>
        </w:rPr>
      </w:pPr>
    </w:p>
    <w:p w14:paraId="484391DE" w14:textId="77777777" w:rsidR="00F94CE8" w:rsidRPr="005C50FD" w:rsidRDefault="00F94CE8" w:rsidP="00FA2069">
      <w:pPr>
        <w:pStyle w:val="NoSpacing"/>
        <w:contextualSpacing/>
        <w:mirrorIndents/>
        <w:rPr>
          <w:sz w:val="20"/>
          <w:szCs w:val="20"/>
        </w:rPr>
      </w:pPr>
    </w:p>
    <w:p w14:paraId="633FD3CD" w14:textId="77777777" w:rsidR="00F94CE8" w:rsidRPr="005C50FD" w:rsidRDefault="00F94CE8" w:rsidP="00FA2069">
      <w:pPr>
        <w:pStyle w:val="NoSpacing"/>
        <w:contextualSpacing/>
        <w:mirrorIndents/>
        <w:rPr>
          <w:sz w:val="20"/>
          <w:szCs w:val="20"/>
        </w:rPr>
      </w:pPr>
    </w:p>
    <w:p w14:paraId="22AD5DBB" w14:textId="77777777" w:rsidR="00F94CE8" w:rsidRPr="005C50FD" w:rsidRDefault="00F94CE8" w:rsidP="00FA2069">
      <w:pPr>
        <w:pStyle w:val="NoSpacing"/>
        <w:contextualSpacing/>
        <w:mirrorIndents/>
        <w:rPr>
          <w:sz w:val="20"/>
          <w:szCs w:val="20"/>
        </w:rPr>
      </w:pPr>
    </w:p>
    <w:p w14:paraId="6FF184E1" w14:textId="77777777" w:rsidR="00F94CE8" w:rsidRPr="005C50FD" w:rsidRDefault="00F94CE8" w:rsidP="00FA2069">
      <w:pPr>
        <w:pStyle w:val="NoSpacing"/>
        <w:contextualSpacing/>
        <w:mirrorIndents/>
        <w:rPr>
          <w:sz w:val="20"/>
          <w:szCs w:val="20"/>
        </w:rPr>
      </w:pPr>
    </w:p>
    <w:p w14:paraId="1F83A38D" w14:textId="77777777" w:rsidR="00F94CE8" w:rsidRPr="005C50FD" w:rsidRDefault="00F94CE8" w:rsidP="00FA2069">
      <w:pPr>
        <w:pStyle w:val="NoSpacing"/>
        <w:contextualSpacing/>
        <w:mirrorIndents/>
        <w:rPr>
          <w:sz w:val="20"/>
          <w:szCs w:val="20"/>
        </w:rPr>
      </w:pPr>
    </w:p>
    <w:p w14:paraId="18261CC9" w14:textId="77777777" w:rsidR="00F94CE8" w:rsidRPr="005C50FD" w:rsidRDefault="00F94CE8" w:rsidP="00FA2069">
      <w:pPr>
        <w:pStyle w:val="NoSpacing"/>
        <w:contextualSpacing/>
        <w:mirrorIndents/>
        <w:rPr>
          <w:sz w:val="20"/>
          <w:szCs w:val="20"/>
        </w:rPr>
      </w:pPr>
    </w:p>
    <w:p w14:paraId="092B0637" w14:textId="77777777" w:rsidR="00F94CE8" w:rsidRPr="005C50FD" w:rsidRDefault="00F94CE8" w:rsidP="00FA2069">
      <w:pPr>
        <w:pStyle w:val="NoSpacing"/>
        <w:contextualSpacing/>
        <w:mirrorIndents/>
        <w:rPr>
          <w:sz w:val="20"/>
          <w:szCs w:val="20"/>
        </w:rPr>
      </w:pPr>
    </w:p>
    <w:p w14:paraId="529A327D" w14:textId="77777777" w:rsidR="00F94CE8" w:rsidRPr="005C50FD" w:rsidRDefault="00F94CE8" w:rsidP="00FA2069">
      <w:pPr>
        <w:pStyle w:val="NoSpacing"/>
        <w:contextualSpacing/>
        <w:mirrorIndents/>
        <w:rPr>
          <w:sz w:val="20"/>
          <w:szCs w:val="20"/>
        </w:rPr>
      </w:pPr>
    </w:p>
    <w:p w14:paraId="008FBC55" w14:textId="77777777" w:rsidR="00F94CE8" w:rsidRPr="005C50FD" w:rsidRDefault="00F94CE8" w:rsidP="00FA2069">
      <w:pPr>
        <w:pStyle w:val="NoSpacing"/>
        <w:contextualSpacing/>
        <w:mirrorIndents/>
        <w:rPr>
          <w:sz w:val="20"/>
          <w:szCs w:val="20"/>
        </w:rPr>
      </w:pPr>
    </w:p>
    <w:p w14:paraId="2538B0F8" w14:textId="77777777" w:rsidR="00F94CE8" w:rsidRPr="005C50FD" w:rsidRDefault="00F94CE8" w:rsidP="00FA2069">
      <w:pPr>
        <w:pStyle w:val="NoSpacing"/>
        <w:contextualSpacing/>
        <w:mirrorIndents/>
        <w:rPr>
          <w:sz w:val="20"/>
          <w:szCs w:val="20"/>
        </w:rPr>
      </w:pPr>
    </w:p>
    <w:p w14:paraId="0AE9D465" w14:textId="77777777" w:rsidR="00F94CE8" w:rsidRPr="005C50FD" w:rsidRDefault="00F94CE8" w:rsidP="00FA2069">
      <w:pPr>
        <w:pStyle w:val="NoSpacing"/>
        <w:contextualSpacing/>
        <w:mirrorIndents/>
        <w:rPr>
          <w:sz w:val="20"/>
          <w:szCs w:val="20"/>
        </w:rPr>
      </w:pPr>
    </w:p>
    <w:p w14:paraId="4785CB72" w14:textId="77777777" w:rsidR="00F94CE8" w:rsidRPr="005C50FD" w:rsidRDefault="00F94CE8" w:rsidP="00FA2069">
      <w:pPr>
        <w:pStyle w:val="NoSpacing"/>
        <w:contextualSpacing/>
        <w:mirrorIndents/>
        <w:rPr>
          <w:sz w:val="20"/>
          <w:szCs w:val="20"/>
        </w:rPr>
      </w:pPr>
    </w:p>
    <w:p w14:paraId="72DA9EB4" w14:textId="77777777" w:rsidR="00F94CE8" w:rsidRPr="005C50FD" w:rsidRDefault="00F94CE8" w:rsidP="00FA2069">
      <w:pPr>
        <w:pStyle w:val="NoSpacing"/>
        <w:contextualSpacing/>
        <w:mirrorIndents/>
        <w:rPr>
          <w:sz w:val="20"/>
          <w:szCs w:val="20"/>
        </w:rPr>
      </w:pPr>
    </w:p>
    <w:p w14:paraId="48075015" w14:textId="77777777" w:rsidR="00F94CE8" w:rsidRPr="005C50FD" w:rsidRDefault="00F94CE8" w:rsidP="00FA2069">
      <w:pPr>
        <w:pStyle w:val="NoSpacing"/>
        <w:contextualSpacing/>
        <w:mirrorIndents/>
        <w:rPr>
          <w:sz w:val="20"/>
          <w:szCs w:val="20"/>
        </w:rPr>
      </w:pPr>
    </w:p>
    <w:p w14:paraId="5B9816A9" w14:textId="77777777" w:rsidR="00F94CE8" w:rsidRPr="005C50FD" w:rsidRDefault="00F94CE8" w:rsidP="00FA2069">
      <w:pPr>
        <w:pStyle w:val="NoSpacing"/>
        <w:contextualSpacing/>
        <w:mirrorIndents/>
        <w:rPr>
          <w:sz w:val="20"/>
          <w:szCs w:val="20"/>
        </w:rPr>
      </w:pPr>
    </w:p>
    <w:p w14:paraId="74AA33D9" w14:textId="77777777" w:rsidR="00F94CE8" w:rsidRPr="005C50FD" w:rsidRDefault="00F94CE8" w:rsidP="00FA2069">
      <w:pPr>
        <w:pStyle w:val="NoSpacing"/>
        <w:contextualSpacing/>
        <w:mirrorIndents/>
        <w:rPr>
          <w:sz w:val="20"/>
          <w:szCs w:val="20"/>
        </w:rPr>
      </w:pPr>
    </w:p>
    <w:p w14:paraId="4093FF99" w14:textId="77777777" w:rsidR="00F94CE8" w:rsidRPr="005C50FD" w:rsidRDefault="00F94CE8" w:rsidP="00FA2069">
      <w:pPr>
        <w:pStyle w:val="NoSpacing"/>
        <w:contextualSpacing/>
        <w:mirrorIndents/>
        <w:rPr>
          <w:sz w:val="20"/>
          <w:szCs w:val="20"/>
        </w:rPr>
      </w:pPr>
    </w:p>
    <w:p w14:paraId="08C15C7D" w14:textId="77777777" w:rsidR="00F94CE8" w:rsidRPr="005C50FD" w:rsidRDefault="00F94CE8" w:rsidP="00FA2069">
      <w:pPr>
        <w:pStyle w:val="NoSpacing"/>
        <w:contextualSpacing/>
        <w:mirrorIndents/>
        <w:rPr>
          <w:sz w:val="20"/>
          <w:szCs w:val="20"/>
        </w:rPr>
      </w:pPr>
    </w:p>
    <w:p w14:paraId="7D05DAF5" w14:textId="77777777" w:rsidR="00F94CE8" w:rsidRPr="005C50FD" w:rsidRDefault="00F94CE8" w:rsidP="00FA2069">
      <w:pPr>
        <w:pStyle w:val="NoSpacing"/>
        <w:contextualSpacing/>
        <w:mirrorIndents/>
        <w:rPr>
          <w:sz w:val="20"/>
          <w:szCs w:val="20"/>
        </w:rPr>
      </w:pPr>
    </w:p>
    <w:p w14:paraId="64ADE801" w14:textId="77777777" w:rsidR="00F94CE8" w:rsidRPr="005C50FD" w:rsidRDefault="00F94CE8" w:rsidP="00FA2069">
      <w:pPr>
        <w:pStyle w:val="NoSpacing"/>
        <w:contextualSpacing/>
        <w:mirrorIndents/>
        <w:rPr>
          <w:sz w:val="20"/>
          <w:szCs w:val="20"/>
        </w:rPr>
      </w:pPr>
    </w:p>
    <w:p w14:paraId="7EAA6A11" w14:textId="77777777" w:rsidR="00F94CE8" w:rsidRPr="005C50FD" w:rsidRDefault="00F94CE8" w:rsidP="00FA2069">
      <w:pPr>
        <w:pStyle w:val="NoSpacing"/>
        <w:contextualSpacing/>
        <w:mirrorIndents/>
        <w:rPr>
          <w:sz w:val="20"/>
          <w:szCs w:val="20"/>
        </w:rPr>
      </w:pPr>
    </w:p>
    <w:p w14:paraId="6AB40A1B" w14:textId="77777777" w:rsidR="00F94CE8" w:rsidRPr="005C50FD" w:rsidRDefault="00F94CE8" w:rsidP="00FA2069">
      <w:pPr>
        <w:spacing w:after="0" w:line="240" w:lineRule="auto"/>
        <w:contextualSpacing/>
        <w:mirrorIndents/>
        <w:rPr>
          <w:sz w:val="20"/>
          <w:szCs w:val="20"/>
        </w:rPr>
      </w:pPr>
      <w:r w:rsidRPr="005C50FD">
        <w:rPr>
          <w:sz w:val="20"/>
          <w:szCs w:val="20"/>
        </w:rPr>
        <w:br w:type="page"/>
      </w:r>
    </w:p>
    <w:p w14:paraId="05B35E5D" w14:textId="3C1A187E" w:rsidR="00F94CE8" w:rsidRPr="005C50FD" w:rsidRDefault="00F94CE8" w:rsidP="00E24860">
      <w:pPr>
        <w:spacing w:after="0" w:line="240" w:lineRule="auto"/>
        <w:contextualSpacing/>
        <w:mirrorIndents/>
        <w:jc w:val="center"/>
        <w:rPr>
          <w:sz w:val="20"/>
          <w:szCs w:val="20"/>
        </w:rPr>
      </w:pPr>
      <w:r w:rsidRPr="005C50FD">
        <w:rPr>
          <w:b/>
          <w:color w:val="0070C0"/>
          <w:sz w:val="20"/>
          <w:szCs w:val="20"/>
        </w:rPr>
        <w:lastRenderedPageBreak/>
        <w:t>Additional Analysis</w:t>
      </w:r>
    </w:p>
    <w:p w14:paraId="4D37D21A" w14:textId="77777777" w:rsidR="00F94CE8" w:rsidRPr="005C50FD" w:rsidRDefault="00F94CE8" w:rsidP="00F94CE8">
      <w:pPr>
        <w:pStyle w:val="NoSpacing"/>
        <w:contextualSpacing/>
        <w:rPr>
          <w:sz w:val="20"/>
          <w:szCs w:val="20"/>
        </w:rPr>
      </w:pPr>
    </w:p>
    <w:p w14:paraId="718411C0" w14:textId="10CB8DE7" w:rsidR="00F94CE8" w:rsidRPr="005C50FD" w:rsidRDefault="00765C84" w:rsidP="00F94CE8">
      <w:pPr>
        <w:pStyle w:val="NoSpacing"/>
        <w:contextualSpacing/>
        <w:rPr>
          <w:sz w:val="20"/>
          <w:szCs w:val="20"/>
        </w:rPr>
      </w:pPr>
      <w:r w:rsidRPr="005C50FD">
        <w:rPr>
          <w:sz w:val="20"/>
          <w:szCs w:val="20"/>
        </w:rPr>
        <w:t xml:space="preserve">The Florist Business Trends Survey in the January 2018 issue of </w:t>
      </w:r>
      <w:r w:rsidR="00E24860" w:rsidRPr="006F776E">
        <w:rPr>
          <w:i/>
          <w:sz w:val="20"/>
          <w:szCs w:val="20"/>
        </w:rPr>
        <w:t>Florist’s Review</w:t>
      </w:r>
      <w:r w:rsidRPr="005C50FD">
        <w:rPr>
          <w:sz w:val="20"/>
          <w:szCs w:val="20"/>
        </w:rPr>
        <w:t xml:space="preserve"> found 75% of surveyed respondents said the use of Instagram positively impacted their business during 2017, and they expected it to be a primary social media platform during 2018.</w:t>
      </w:r>
    </w:p>
    <w:p w14:paraId="72A9D893" w14:textId="77777777" w:rsidR="00F94CE8" w:rsidRPr="005C50FD" w:rsidRDefault="00F94CE8" w:rsidP="00F94CE8">
      <w:pPr>
        <w:pStyle w:val="NoSpacing"/>
        <w:contextualSpacing/>
        <w:rPr>
          <w:sz w:val="20"/>
          <w:szCs w:val="20"/>
        </w:rPr>
      </w:pPr>
    </w:p>
    <w:p w14:paraId="78E679E8" w14:textId="3D002E1E" w:rsidR="00F94CE8" w:rsidRPr="005C50FD" w:rsidRDefault="00765C84" w:rsidP="00F94CE8">
      <w:pPr>
        <w:pStyle w:val="NoSpacing"/>
        <w:contextualSpacing/>
        <w:rPr>
          <w:sz w:val="20"/>
          <w:szCs w:val="20"/>
        </w:rPr>
      </w:pPr>
      <w:r w:rsidRPr="005C50FD">
        <w:rPr>
          <w:sz w:val="20"/>
          <w:szCs w:val="20"/>
        </w:rPr>
        <w:t>Almost two-thirds (66%) of survey participants said “retail florists are disappearing or downsizing in my market,</w:t>
      </w:r>
      <w:r w:rsidR="006F776E">
        <w:rPr>
          <w:sz w:val="20"/>
          <w:szCs w:val="20"/>
        </w:rPr>
        <w:t>”</w:t>
      </w:r>
      <w:r w:rsidRPr="005C50FD">
        <w:rPr>
          <w:sz w:val="20"/>
          <w:szCs w:val="20"/>
        </w:rPr>
        <w:t xml:space="preserve"> with many transitioning to being a studio florist.</w:t>
      </w:r>
    </w:p>
    <w:p w14:paraId="3CDFB8E2" w14:textId="77777777" w:rsidR="00F94CE8" w:rsidRPr="005C50FD" w:rsidRDefault="00F94CE8" w:rsidP="00F94CE8">
      <w:pPr>
        <w:pStyle w:val="NoSpacing"/>
        <w:contextualSpacing/>
        <w:rPr>
          <w:sz w:val="20"/>
          <w:szCs w:val="20"/>
        </w:rPr>
      </w:pPr>
    </w:p>
    <w:p w14:paraId="6DC49CD3" w14:textId="75A9AAC2" w:rsidR="00F94CE8" w:rsidRPr="005C50FD" w:rsidRDefault="00765C84" w:rsidP="00F94CE8">
      <w:pPr>
        <w:pStyle w:val="NoSpacing"/>
        <w:contextualSpacing/>
        <w:rPr>
          <w:sz w:val="20"/>
          <w:szCs w:val="20"/>
        </w:rPr>
      </w:pPr>
      <w:r w:rsidRPr="005C50FD">
        <w:rPr>
          <w:sz w:val="20"/>
          <w:szCs w:val="20"/>
        </w:rPr>
        <w:t>A majority of florists (57%) said their customers are increasingly interested in locally grown/American-grown flowers. Some cite difficulties with their supply chains as a primary reason they turn to local suppliers, both to support the local economy and receive shipments faster.</w:t>
      </w:r>
    </w:p>
    <w:p w14:paraId="2AC14BFB" w14:textId="77777777" w:rsidR="00F94CE8" w:rsidRPr="005C50FD" w:rsidRDefault="00F94CE8" w:rsidP="00F94CE8">
      <w:pPr>
        <w:pStyle w:val="NoSpacing"/>
        <w:contextualSpacing/>
        <w:rPr>
          <w:sz w:val="20"/>
          <w:szCs w:val="20"/>
        </w:rPr>
      </w:pPr>
    </w:p>
    <w:p w14:paraId="548CA371" w14:textId="505B6C5F" w:rsidR="00F94CE8" w:rsidRPr="005C50FD" w:rsidRDefault="00260945" w:rsidP="00F94CE8">
      <w:pPr>
        <w:pStyle w:val="NoSpacing"/>
        <w:contextualSpacing/>
        <w:rPr>
          <w:sz w:val="20"/>
          <w:szCs w:val="20"/>
        </w:rPr>
      </w:pPr>
      <w:r w:rsidRPr="005C50FD">
        <w:rPr>
          <w:sz w:val="20"/>
          <w:szCs w:val="20"/>
        </w:rPr>
        <w:t xml:space="preserve">According to Winsight Grocery Business and the IRI data it published, there are opportunities for multioutlet retailers to market and sell outdoor and potted plants during other than peak seasons, such as the spring. The following table </w:t>
      </w:r>
      <w:r w:rsidR="006F776E">
        <w:rPr>
          <w:sz w:val="20"/>
          <w:szCs w:val="20"/>
        </w:rPr>
        <w:t xml:space="preserve">shows </w:t>
      </w:r>
      <w:r w:rsidRPr="005C50FD">
        <w:rPr>
          <w:sz w:val="20"/>
          <w:szCs w:val="20"/>
        </w:rPr>
        <w:t xml:space="preserve">which floral products provide these opportunities, and when. </w:t>
      </w:r>
    </w:p>
    <w:p w14:paraId="3266F5ED" w14:textId="77777777" w:rsidR="00F94CE8" w:rsidRPr="005C50FD" w:rsidRDefault="00F94CE8" w:rsidP="00F94CE8">
      <w:pPr>
        <w:pStyle w:val="NoSpacing"/>
        <w:contextualSpacing/>
        <w:rPr>
          <w:sz w:val="20"/>
          <w:szCs w:val="20"/>
        </w:rPr>
      </w:pPr>
    </w:p>
    <w:p w14:paraId="2035B290" w14:textId="5114B853" w:rsidR="00260945" w:rsidRPr="005C50FD" w:rsidRDefault="00260945" w:rsidP="00260945">
      <w:pPr>
        <w:pStyle w:val="Header"/>
        <w:contextualSpacing/>
        <w:jc w:val="center"/>
        <w:rPr>
          <w:rFonts w:ascii="Verdana" w:hAnsi="Verdana"/>
          <w:b/>
          <w:sz w:val="20"/>
          <w:szCs w:val="20"/>
        </w:rPr>
      </w:pPr>
      <w:r w:rsidRPr="005C50FD">
        <w:rPr>
          <w:rFonts w:ascii="Verdana" w:hAnsi="Verdana"/>
          <w:b/>
          <w:sz w:val="20"/>
          <w:szCs w:val="20"/>
        </w:rPr>
        <w:t xml:space="preserve">Total US Multioutlet Floral Dollar Sales Trends, </w:t>
      </w:r>
      <w:r w:rsidR="00197C34" w:rsidRPr="005C50FD">
        <w:rPr>
          <w:rFonts w:ascii="Verdana" w:hAnsi="Verdana"/>
          <w:b/>
          <w:sz w:val="20"/>
          <w:szCs w:val="20"/>
        </w:rPr>
        <w:t>January</w:t>
      </w:r>
      <w:r w:rsidRPr="005C50FD">
        <w:rPr>
          <w:rFonts w:ascii="Verdana" w:hAnsi="Verdana"/>
          <w:b/>
          <w:sz w:val="20"/>
          <w:szCs w:val="20"/>
        </w:rPr>
        <w:t>–August 2018</w:t>
      </w:r>
    </w:p>
    <w:tbl>
      <w:tblPr>
        <w:tblW w:w="8085" w:type="dxa"/>
        <w:jc w:val="center"/>
        <w:tblBorders>
          <w:left w:val="single" w:sz="8" w:space="0" w:color="000000"/>
          <w:right w:val="single" w:sz="8" w:space="0" w:color="000000"/>
        </w:tblBorders>
        <w:tblLayout w:type="fixed"/>
        <w:tblLook w:val="0000" w:firstRow="0" w:lastRow="0" w:firstColumn="0" w:lastColumn="0" w:noHBand="0" w:noVBand="0"/>
      </w:tblPr>
      <w:tblGrid>
        <w:gridCol w:w="1530"/>
        <w:gridCol w:w="1605"/>
        <w:gridCol w:w="1710"/>
        <w:gridCol w:w="1620"/>
        <w:gridCol w:w="1620"/>
      </w:tblGrid>
      <w:tr w:rsidR="00197C34" w:rsidRPr="005C50FD" w14:paraId="3BF9109C" w14:textId="77777777" w:rsidTr="006F776E">
        <w:trPr>
          <w:trHeight w:val="243"/>
          <w:jc w:val="center"/>
        </w:trPr>
        <w:tc>
          <w:tcPr>
            <w:tcW w:w="1530" w:type="dxa"/>
            <w:tcBorders>
              <w:top w:val="single" w:sz="12" w:space="0" w:color="000000"/>
              <w:left w:val="single" w:sz="12" w:space="0" w:color="000000"/>
              <w:bottom w:val="single" w:sz="12" w:space="0" w:color="000000"/>
              <w:right w:val="single" w:sz="18" w:space="0" w:color="000000"/>
            </w:tcBorders>
            <w:vAlign w:val="center"/>
          </w:tcPr>
          <w:p w14:paraId="470FF2E9" w14:textId="1BD6EF2D" w:rsidR="00260945" w:rsidRPr="005C50FD" w:rsidRDefault="00260945" w:rsidP="00272418">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5C50FD">
              <w:rPr>
                <w:rFonts w:ascii="Verdana" w:eastAsia="Times New Roman" w:hAnsi="Verdana"/>
                <w:sz w:val="20"/>
                <w:szCs w:val="20"/>
              </w:rPr>
              <w:t>Date</w:t>
            </w:r>
            <w:r w:rsidR="00197C34" w:rsidRPr="005C50FD">
              <w:rPr>
                <w:rFonts w:ascii="Verdana" w:eastAsia="Times New Roman" w:hAnsi="Verdana"/>
                <w:sz w:val="20"/>
                <w:szCs w:val="20"/>
              </w:rPr>
              <w:t>*</w:t>
            </w:r>
          </w:p>
        </w:tc>
        <w:tc>
          <w:tcPr>
            <w:tcW w:w="1605" w:type="dxa"/>
            <w:tcBorders>
              <w:top w:val="single" w:sz="12" w:space="0" w:color="000000"/>
              <w:left w:val="single" w:sz="18" w:space="0" w:color="000000"/>
              <w:bottom w:val="single" w:sz="12" w:space="0" w:color="000000"/>
              <w:right w:val="single" w:sz="8" w:space="0" w:color="000000"/>
            </w:tcBorders>
            <w:vAlign w:val="center"/>
          </w:tcPr>
          <w:p w14:paraId="49E6C21D" w14:textId="22E67AF1" w:rsidR="00260945" w:rsidRPr="005C50FD" w:rsidRDefault="00260945" w:rsidP="00272418">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5C50FD">
              <w:rPr>
                <w:rFonts w:ascii="Verdana" w:eastAsia="Times New Roman" w:hAnsi="Verdana"/>
                <w:sz w:val="20"/>
                <w:szCs w:val="20"/>
              </w:rPr>
              <w:t>Arrangement</w:t>
            </w:r>
          </w:p>
        </w:tc>
        <w:tc>
          <w:tcPr>
            <w:tcW w:w="1710" w:type="dxa"/>
            <w:tcBorders>
              <w:top w:val="single" w:sz="12" w:space="0" w:color="000000"/>
              <w:left w:val="single" w:sz="8" w:space="0" w:color="000000"/>
              <w:bottom w:val="single" w:sz="12" w:space="0" w:color="000000"/>
              <w:right w:val="single" w:sz="8" w:space="0" w:color="000000"/>
            </w:tcBorders>
            <w:vAlign w:val="center"/>
          </w:tcPr>
          <w:p w14:paraId="34B1BAD6" w14:textId="47D7A550" w:rsidR="00260945" w:rsidRPr="005C50FD" w:rsidRDefault="00197C34" w:rsidP="00272418">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5C50FD">
              <w:rPr>
                <w:rFonts w:ascii="Verdana" w:eastAsia="Times New Roman" w:hAnsi="Verdana"/>
                <w:sz w:val="20"/>
                <w:szCs w:val="20"/>
              </w:rPr>
              <w:t>Bouquet</w:t>
            </w:r>
          </w:p>
        </w:tc>
        <w:tc>
          <w:tcPr>
            <w:tcW w:w="1620" w:type="dxa"/>
            <w:tcBorders>
              <w:top w:val="single" w:sz="12" w:space="0" w:color="000000"/>
              <w:left w:val="single" w:sz="8" w:space="0" w:color="000000"/>
              <w:bottom w:val="single" w:sz="12" w:space="0" w:color="000000"/>
              <w:right w:val="single" w:sz="8" w:space="0" w:color="000000"/>
            </w:tcBorders>
            <w:vAlign w:val="center"/>
          </w:tcPr>
          <w:p w14:paraId="21597797" w14:textId="6A9D631F" w:rsidR="00260945" w:rsidRPr="005C50FD" w:rsidRDefault="00197C34" w:rsidP="00272418">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5C50FD">
              <w:rPr>
                <w:rFonts w:ascii="Verdana" w:eastAsia="Times New Roman" w:hAnsi="Verdana"/>
                <w:sz w:val="20"/>
                <w:szCs w:val="20"/>
              </w:rPr>
              <w:t>Fresh Cut</w:t>
            </w:r>
          </w:p>
        </w:tc>
        <w:tc>
          <w:tcPr>
            <w:tcW w:w="1620" w:type="dxa"/>
            <w:tcBorders>
              <w:top w:val="single" w:sz="12" w:space="0" w:color="000000"/>
              <w:left w:val="single" w:sz="8" w:space="0" w:color="000000"/>
              <w:bottom w:val="single" w:sz="12" w:space="0" w:color="000000"/>
              <w:right w:val="single" w:sz="12" w:space="0" w:color="000000"/>
            </w:tcBorders>
            <w:vAlign w:val="center"/>
          </w:tcPr>
          <w:p w14:paraId="004D9927" w14:textId="3060FF37" w:rsidR="00260945" w:rsidRPr="005C50FD" w:rsidRDefault="00197C34" w:rsidP="00272418">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5C50FD">
              <w:rPr>
                <w:rFonts w:ascii="Verdana" w:eastAsia="Times New Roman" w:hAnsi="Verdana"/>
                <w:sz w:val="20"/>
                <w:szCs w:val="20"/>
              </w:rPr>
              <w:t>Outdoor Plant</w:t>
            </w:r>
          </w:p>
        </w:tc>
      </w:tr>
      <w:tr w:rsidR="00197C34" w:rsidRPr="005C50FD" w14:paraId="78AF2E26" w14:textId="77777777" w:rsidTr="006F776E">
        <w:trPr>
          <w:trHeight w:val="243"/>
          <w:jc w:val="center"/>
        </w:trPr>
        <w:tc>
          <w:tcPr>
            <w:tcW w:w="1530" w:type="dxa"/>
            <w:tcBorders>
              <w:top w:val="single" w:sz="12" w:space="0" w:color="000000"/>
              <w:left w:val="single" w:sz="12" w:space="0" w:color="000000"/>
              <w:bottom w:val="single" w:sz="4" w:space="0" w:color="auto"/>
              <w:right w:val="single" w:sz="18" w:space="0" w:color="000000"/>
            </w:tcBorders>
            <w:vAlign w:val="center"/>
          </w:tcPr>
          <w:p w14:paraId="5CFF074A" w14:textId="5A8DBBC5" w:rsidR="00260945" w:rsidRPr="005C50FD" w:rsidRDefault="00197C34" w:rsidP="00272418">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1/28/18</w:t>
            </w:r>
          </w:p>
        </w:tc>
        <w:tc>
          <w:tcPr>
            <w:tcW w:w="1605" w:type="dxa"/>
            <w:tcBorders>
              <w:top w:val="single" w:sz="12" w:space="0" w:color="000000"/>
              <w:left w:val="single" w:sz="18" w:space="0" w:color="000000"/>
              <w:bottom w:val="single" w:sz="4" w:space="0" w:color="auto"/>
              <w:right w:val="single" w:sz="8" w:space="0" w:color="000000"/>
            </w:tcBorders>
            <w:vAlign w:val="center"/>
          </w:tcPr>
          <w:p w14:paraId="3EC78936" w14:textId="094941BA" w:rsidR="00260945"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$15.74 M</w:t>
            </w:r>
          </w:p>
        </w:tc>
        <w:tc>
          <w:tcPr>
            <w:tcW w:w="1710" w:type="dxa"/>
            <w:tcBorders>
              <w:top w:val="single" w:sz="12" w:space="0" w:color="000000"/>
              <w:left w:val="single" w:sz="8" w:space="0" w:color="000000"/>
              <w:bottom w:val="single" w:sz="4" w:space="0" w:color="auto"/>
              <w:right w:val="single" w:sz="8" w:space="0" w:color="000000"/>
            </w:tcBorders>
            <w:vAlign w:val="center"/>
          </w:tcPr>
          <w:p w14:paraId="07E7A29B" w14:textId="334C11E3" w:rsidR="00260945"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$32.08 M</w:t>
            </w:r>
          </w:p>
        </w:tc>
        <w:tc>
          <w:tcPr>
            <w:tcW w:w="1620" w:type="dxa"/>
            <w:tcBorders>
              <w:top w:val="single" w:sz="12" w:space="0" w:color="000000"/>
              <w:left w:val="single" w:sz="8" w:space="0" w:color="000000"/>
              <w:bottom w:val="single" w:sz="4" w:space="0" w:color="auto"/>
              <w:right w:val="single" w:sz="8" w:space="0" w:color="000000"/>
            </w:tcBorders>
            <w:vAlign w:val="center"/>
          </w:tcPr>
          <w:p w14:paraId="5C55BA72" w14:textId="62B83CD9" w:rsidR="00260945"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$33.80 M</w:t>
            </w:r>
          </w:p>
        </w:tc>
        <w:tc>
          <w:tcPr>
            <w:tcW w:w="1620" w:type="dxa"/>
            <w:tcBorders>
              <w:top w:val="single" w:sz="12" w:space="0" w:color="000000"/>
              <w:left w:val="single" w:sz="8" w:space="0" w:color="000000"/>
              <w:bottom w:val="single" w:sz="4" w:space="0" w:color="auto"/>
              <w:right w:val="single" w:sz="12" w:space="0" w:color="000000"/>
            </w:tcBorders>
            <w:vAlign w:val="center"/>
          </w:tcPr>
          <w:p w14:paraId="5FDE92B6" w14:textId="5FD0E13D" w:rsidR="00260945"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$4.12 M</w:t>
            </w:r>
          </w:p>
        </w:tc>
      </w:tr>
      <w:tr w:rsidR="00197C34" w:rsidRPr="005C50FD" w14:paraId="4C6638C3" w14:textId="77777777" w:rsidTr="00197C34">
        <w:trPr>
          <w:trHeight w:val="243"/>
          <w:jc w:val="center"/>
        </w:trPr>
        <w:tc>
          <w:tcPr>
            <w:tcW w:w="1530" w:type="dxa"/>
            <w:tcBorders>
              <w:top w:val="single" w:sz="4" w:space="0" w:color="auto"/>
              <w:left w:val="single" w:sz="12" w:space="0" w:color="000000"/>
              <w:bottom w:val="single" w:sz="4" w:space="0" w:color="000000"/>
              <w:right w:val="single" w:sz="18" w:space="0" w:color="000000"/>
            </w:tcBorders>
            <w:vAlign w:val="center"/>
          </w:tcPr>
          <w:p w14:paraId="738A666E" w14:textId="7B13EFBA" w:rsidR="00260945" w:rsidRPr="005C50FD" w:rsidRDefault="00197C34" w:rsidP="00272418">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2/25/18</w:t>
            </w:r>
          </w:p>
        </w:tc>
        <w:tc>
          <w:tcPr>
            <w:tcW w:w="1605" w:type="dxa"/>
            <w:tcBorders>
              <w:top w:val="single" w:sz="4" w:space="0" w:color="auto"/>
              <w:left w:val="single" w:sz="18" w:space="0" w:color="000000"/>
              <w:bottom w:val="single" w:sz="4" w:space="0" w:color="000000"/>
              <w:right w:val="single" w:sz="8" w:space="0" w:color="000000"/>
            </w:tcBorders>
            <w:vAlign w:val="center"/>
          </w:tcPr>
          <w:p w14:paraId="1F888944" w14:textId="3E23C719" w:rsidR="00260945"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$76.37 M</w:t>
            </w:r>
          </w:p>
        </w:tc>
        <w:tc>
          <w:tcPr>
            <w:tcW w:w="1710" w:type="dxa"/>
            <w:tcBorders>
              <w:top w:val="single" w:sz="4" w:space="0" w:color="auto"/>
              <w:left w:val="single" w:sz="8" w:space="0" w:color="000000"/>
              <w:bottom w:val="single" w:sz="4" w:space="0" w:color="000000"/>
              <w:right w:val="single" w:sz="8" w:space="0" w:color="000000"/>
            </w:tcBorders>
            <w:vAlign w:val="center"/>
          </w:tcPr>
          <w:p w14:paraId="5406C08E" w14:textId="71420A53" w:rsidR="00260945"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$95.46 M</w:t>
            </w:r>
          </w:p>
        </w:tc>
        <w:tc>
          <w:tcPr>
            <w:tcW w:w="1620" w:type="dxa"/>
            <w:tcBorders>
              <w:top w:val="single" w:sz="4" w:space="0" w:color="auto"/>
              <w:left w:val="single" w:sz="8" w:space="0" w:color="000000"/>
              <w:bottom w:val="single" w:sz="4" w:space="0" w:color="000000"/>
              <w:right w:val="single" w:sz="8" w:space="0" w:color="000000"/>
            </w:tcBorders>
            <w:vAlign w:val="center"/>
          </w:tcPr>
          <w:p w14:paraId="2215F309" w14:textId="2D8970F3" w:rsidR="00260945"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$66.14 M</w:t>
            </w:r>
          </w:p>
        </w:tc>
        <w:tc>
          <w:tcPr>
            <w:tcW w:w="1620" w:type="dxa"/>
            <w:tcBorders>
              <w:top w:val="single" w:sz="4" w:space="0" w:color="auto"/>
              <w:left w:val="single" w:sz="8" w:space="0" w:color="000000"/>
              <w:bottom w:val="single" w:sz="4" w:space="0" w:color="000000"/>
              <w:right w:val="single" w:sz="12" w:space="0" w:color="000000"/>
            </w:tcBorders>
            <w:vAlign w:val="center"/>
          </w:tcPr>
          <w:p w14:paraId="3F1965E1" w14:textId="7FAE1DD5" w:rsidR="00260945"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$11.30 M</w:t>
            </w:r>
          </w:p>
        </w:tc>
      </w:tr>
      <w:tr w:rsidR="00197C34" w:rsidRPr="005C50FD" w14:paraId="79CA0EEA" w14:textId="77777777" w:rsidTr="00197C34">
        <w:trPr>
          <w:trHeight w:val="243"/>
          <w:jc w:val="center"/>
        </w:trPr>
        <w:tc>
          <w:tcPr>
            <w:tcW w:w="1530" w:type="dxa"/>
            <w:tcBorders>
              <w:top w:val="single" w:sz="4" w:space="0" w:color="auto"/>
              <w:left w:val="single" w:sz="12" w:space="0" w:color="000000"/>
              <w:bottom w:val="single" w:sz="4" w:space="0" w:color="000000"/>
              <w:right w:val="single" w:sz="18" w:space="0" w:color="000000"/>
            </w:tcBorders>
            <w:vAlign w:val="center"/>
          </w:tcPr>
          <w:p w14:paraId="7569B297" w14:textId="2F44F10D" w:rsidR="00197C34" w:rsidRPr="005C50FD" w:rsidRDefault="00197C34" w:rsidP="00272418">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3/25/18</w:t>
            </w:r>
          </w:p>
        </w:tc>
        <w:tc>
          <w:tcPr>
            <w:tcW w:w="1605" w:type="dxa"/>
            <w:tcBorders>
              <w:top w:val="single" w:sz="4" w:space="0" w:color="auto"/>
              <w:left w:val="single" w:sz="18" w:space="0" w:color="000000"/>
              <w:bottom w:val="single" w:sz="4" w:space="0" w:color="000000"/>
              <w:right w:val="single" w:sz="8" w:space="0" w:color="000000"/>
            </w:tcBorders>
            <w:vAlign w:val="center"/>
          </w:tcPr>
          <w:p w14:paraId="72F5357A" w14:textId="3232AD9E"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$20.12 M</w:t>
            </w:r>
          </w:p>
        </w:tc>
        <w:tc>
          <w:tcPr>
            <w:tcW w:w="1710" w:type="dxa"/>
            <w:tcBorders>
              <w:top w:val="single" w:sz="4" w:space="0" w:color="auto"/>
              <w:left w:val="single" w:sz="8" w:space="0" w:color="000000"/>
              <w:bottom w:val="single" w:sz="4" w:space="0" w:color="000000"/>
              <w:right w:val="single" w:sz="8" w:space="0" w:color="000000"/>
            </w:tcBorders>
            <w:vAlign w:val="center"/>
          </w:tcPr>
          <w:p w14:paraId="44117571" w14:textId="1AD3EEE6"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$46.43 M</w:t>
            </w:r>
          </w:p>
        </w:tc>
        <w:tc>
          <w:tcPr>
            <w:tcW w:w="1620" w:type="dxa"/>
            <w:tcBorders>
              <w:top w:val="single" w:sz="4" w:space="0" w:color="auto"/>
              <w:left w:val="single" w:sz="8" w:space="0" w:color="000000"/>
              <w:bottom w:val="single" w:sz="4" w:space="0" w:color="000000"/>
              <w:right w:val="single" w:sz="8" w:space="0" w:color="000000"/>
            </w:tcBorders>
            <w:vAlign w:val="center"/>
          </w:tcPr>
          <w:p w14:paraId="6CD34E15" w14:textId="1421C21C"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$51.49 M</w:t>
            </w:r>
          </w:p>
        </w:tc>
        <w:tc>
          <w:tcPr>
            <w:tcW w:w="1620" w:type="dxa"/>
            <w:tcBorders>
              <w:top w:val="single" w:sz="4" w:space="0" w:color="auto"/>
              <w:left w:val="single" w:sz="8" w:space="0" w:color="000000"/>
              <w:bottom w:val="single" w:sz="4" w:space="0" w:color="000000"/>
              <w:right w:val="single" w:sz="12" w:space="0" w:color="000000"/>
            </w:tcBorders>
            <w:vAlign w:val="center"/>
          </w:tcPr>
          <w:p w14:paraId="01677A43" w14:textId="5A6A22F2"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$34.92 M</w:t>
            </w:r>
          </w:p>
        </w:tc>
      </w:tr>
      <w:tr w:rsidR="00197C34" w:rsidRPr="005C50FD" w14:paraId="07F03080" w14:textId="77777777" w:rsidTr="00197C34">
        <w:trPr>
          <w:trHeight w:val="243"/>
          <w:jc w:val="center"/>
        </w:trPr>
        <w:tc>
          <w:tcPr>
            <w:tcW w:w="1530" w:type="dxa"/>
            <w:tcBorders>
              <w:top w:val="single" w:sz="4" w:space="0" w:color="auto"/>
              <w:left w:val="single" w:sz="12" w:space="0" w:color="000000"/>
              <w:bottom w:val="single" w:sz="4" w:space="0" w:color="000000"/>
              <w:right w:val="single" w:sz="18" w:space="0" w:color="000000"/>
            </w:tcBorders>
            <w:vAlign w:val="center"/>
          </w:tcPr>
          <w:p w14:paraId="3C2B487C" w14:textId="637575A9" w:rsidR="00197C34" w:rsidRPr="005C50FD" w:rsidRDefault="00197C34" w:rsidP="00272418">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4/22/18</w:t>
            </w:r>
          </w:p>
        </w:tc>
        <w:tc>
          <w:tcPr>
            <w:tcW w:w="1605" w:type="dxa"/>
            <w:tcBorders>
              <w:top w:val="single" w:sz="4" w:space="0" w:color="auto"/>
              <w:left w:val="single" w:sz="18" w:space="0" w:color="000000"/>
              <w:bottom w:val="single" w:sz="4" w:space="0" w:color="000000"/>
              <w:right w:val="single" w:sz="8" w:space="0" w:color="000000"/>
            </w:tcBorders>
            <w:vAlign w:val="center"/>
          </w:tcPr>
          <w:p w14:paraId="6388972F" w14:textId="21B637FE"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$26.53 M</w:t>
            </w:r>
          </w:p>
        </w:tc>
        <w:tc>
          <w:tcPr>
            <w:tcW w:w="1710" w:type="dxa"/>
            <w:tcBorders>
              <w:top w:val="single" w:sz="4" w:space="0" w:color="auto"/>
              <w:left w:val="single" w:sz="8" w:space="0" w:color="000000"/>
              <w:bottom w:val="single" w:sz="4" w:space="0" w:color="000000"/>
              <w:right w:val="single" w:sz="8" w:space="0" w:color="000000"/>
            </w:tcBorders>
            <w:vAlign w:val="center"/>
          </w:tcPr>
          <w:p w14:paraId="0A1CD39F" w14:textId="1C3B840F"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$60.64 M</w:t>
            </w:r>
          </w:p>
        </w:tc>
        <w:tc>
          <w:tcPr>
            <w:tcW w:w="1620" w:type="dxa"/>
            <w:tcBorders>
              <w:top w:val="single" w:sz="4" w:space="0" w:color="auto"/>
              <w:left w:val="single" w:sz="8" w:space="0" w:color="000000"/>
              <w:bottom w:val="single" w:sz="4" w:space="0" w:color="000000"/>
              <w:right w:val="single" w:sz="8" w:space="0" w:color="000000"/>
            </w:tcBorders>
            <w:vAlign w:val="center"/>
          </w:tcPr>
          <w:p w14:paraId="0EEF43AC" w14:textId="17F9BCCF"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$64.01 M</w:t>
            </w:r>
          </w:p>
        </w:tc>
        <w:tc>
          <w:tcPr>
            <w:tcW w:w="1620" w:type="dxa"/>
            <w:tcBorders>
              <w:top w:val="single" w:sz="4" w:space="0" w:color="auto"/>
              <w:left w:val="single" w:sz="8" w:space="0" w:color="000000"/>
              <w:bottom w:val="single" w:sz="4" w:space="0" w:color="000000"/>
              <w:right w:val="single" w:sz="12" w:space="0" w:color="000000"/>
            </w:tcBorders>
            <w:vAlign w:val="center"/>
          </w:tcPr>
          <w:p w14:paraId="0C03C6D9" w14:textId="30D2CA9B"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$93.45 M</w:t>
            </w:r>
          </w:p>
        </w:tc>
      </w:tr>
      <w:tr w:rsidR="00197C34" w:rsidRPr="005C50FD" w14:paraId="7506C0F6" w14:textId="77777777" w:rsidTr="00197C34">
        <w:trPr>
          <w:trHeight w:val="243"/>
          <w:jc w:val="center"/>
        </w:trPr>
        <w:tc>
          <w:tcPr>
            <w:tcW w:w="1530" w:type="dxa"/>
            <w:tcBorders>
              <w:top w:val="single" w:sz="4" w:space="0" w:color="auto"/>
              <w:left w:val="single" w:sz="12" w:space="0" w:color="000000"/>
              <w:bottom w:val="single" w:sz="4" w:space="0" w:color="000000"/>
              <w:right w:val="single" w:sz="18" w:space="0" w:color="000000"/>
            </w:tcBorders>
            <w:vAlign w:val="center"/>
          </w:tcPr>
          <w:p w14:paraId="38C5F0A1" w14:textId="72E2F95A" w:rsidR="00197C34" w:rsidRPr="005C50FD" w:rsidRDefault="00197C34" w:rsidP="00272418">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5/20/18</w:t>
            </w:r>
          </w:p>
        </w:tc>
        <w:tc>
          <w:tcPr>
            <w:tcW w:w="1605" w:type="dxa"/>
            <w:tcBorders>
              <w:top w:val="single" w:sz="4" w:space="0" w:color="auto"/>
              <w:left w:val="single" w:sz="18" w:space="0" w:color="000000"/>
              <w:bottom w:val="single" w:sz="4" w:space="0" w:color="000000"/>
              <w:right w:val="single" w:sz="8" w:space="0" w:color="000000"/>
            </w:tcBorders>
            <w:vAlign w:val="center"/>
          </w:tcPr>
          <w:p w14:paraId="1CAD1D11" w14:textId="4B1BFBB2"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$64.87 M</w:t>
            </w:r>
          </w:p>
        </w:tc>
        <w:tc>
          <w:tcPr>
            <w:tcW w:w="1710" w:type="dxa"/>
            <w:tcBorders>
              <w:top w:val="single" w:sz="4" w:space="0" w:color="auto"/>
              <w:left w:val="single" w:sz="8" w:space="0" w:color="000000"/>
              <w:bottom w:val="single" w:sz="4" w:space="0" w:color="000000"/>
              <w:right w:val="single" w:sz="8" w:space="0" w:color="000000"/>
            </w:tcBorders>
            <w:vAlign w:val="center"/>
          </w:tcPr>
          <w:p w14:paraId="3840E114" w14:textId="47849DE8"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$148.68 M</w:t>
            </w:r>
          </w:p>
        </w:tc>
        <w:tc>
          <w:tcPr>
            <w:tcW w:w="1620" w:type="dxa"/>
            <w:tcBorders>
              <w:top w:val="single" w:sz="4" w:space="0" w:color="auto"/>
              <w:left w:val="single" w:sz="8" w:space="0" w:color="000000"/>
              <w:bottom w:val="single" w:sz="4" w:space="0" w:color="000000"/>
              <w:right w:val="single" w:sz="8" w:space="0" w:color="000000"/>
            </w:tcBorders>
            <w:vAlign w:val="center"/>
          </w:tcPr>
          <w:p w14:paraId="2C07962E" w14:textId="1A6299D3"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$84.82 M</w:t>
            </w:r>
          </w:p>
        </w:tc>
        <w:tc>
          <w:tcPr>
            <w:tcW w:w="1620" w:type="dxa"/>
            <w:tcBorders>
              <w:top w:val="single" w:sz="4" w:space="0" w:color="auto"/>
              <w:left w:val="single" w:sz="8" w:space="0" w:color="000000"/>
              <w:bottom w:val="single" w:sz="4" w:space="0" w:color="000000"/>
              <w:right w:val="single" w:sz="12" w:space="0" w:color="000000"/>
            </w:tcBorders>
            <w:vAlign w:val="center"/>
          </w:tcPr>
          <w:p w14:paraId="3A193B5A" w14:textId="6EE7A1DE"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$312.87 M</w:t>
            </w:r>
          </w:p>
        </w:tc>
      </w:tr>
      <w:tr w:rsidR="00197C34" w:rsidRPr="005C50FD" w14:paraId="76B8FEA4" w14:textId="77777777" w:rsidTr="00197C34">
        <w:trPr>
          <w:trHeight w:val="243"/>
          <w:jc w:val="center"/>
        </w:trPr>
        <w:tc>
          <w:tcPr>
            <w:tcW w:w="1530" w:type="dxa"/>
            <w:tcBorders>
              <w:top w:val="single" w:sz="4" w:space="0" w:color="auto"/>
              <w:left w:val="single" w:sz="12" w:space="0" w:color="000000"/>
              <w:bottom w:val="single" w:sz="4" w:space="0" w:color="000000"/>
              <w:right w:val="single" w:sz="18" w:space="0" w:color="000000"/>
            </w:tcBorders>
            <w:vAlign w:val="center"/>
          </w:tcPr>
          <w:p w14:paraId="18D7B093" w14:textId="1695FDD7" w:rsidR="00197C34" w:rsidRPr="005C50FD" w:rsidRDefault="00197C34" w:rsidP="00272418">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6/17/18</w:t>
            </w:r>
          </w:p>
        </w:tc>
        <w:tc>
          <w:tcPr>
            <w:tcW w:w="1605" w:type="dxa"/>
            <w:tcBorders>
              <w:top w:val="single" w:sz="4" w:space="0" w:color="auto"/>
              <w:left w:val="single" w:sz="18" w:space="0" w:color="000000"/>
              <w:bottom w:val="single" w:sz="4" w:space="0" w:color="000000"/>
              <w:right w:val="single" w:sz="8" w:space="0" w:color="000000"/>
            </w:tcBorders>
            <w:vAlign w:val="center"/>
          </w:tcPr>
          <w:p w14:paraId="259DB751" w14:textId="37111CE7"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$23.80 M</w:t>
            </w:r>
          </w:p>
        </w:tc>
        <w:tc>
          <w:tcPr>
            <w:tcW w:w="1710" w:type="dxa"/>
            <w:tcBorders>
              <w:top w:val="single" w:sz="4" w:space="0" w:color="auto"/>
              <w:left w:val="single" w:sz="8" w:space="0" w:color="000000"/>
              <w:bottom w:val="single" w:sz="4" w:space="0" w:color="000000"/>
              <w:right w:val="single" w:sz="8" w:space="0" w:color="000000"/>
            </w:tcBorders>
            <w:vAlign w:val="center"/>
          </w:tcPr>
          <w:p w14:paraId="2E8E75F2" w14:textId="510CE960"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$59.27 M</w:t>
            </w:r>
          </w:p>
        </w:tc>
        <w:tc>
          <w:tcPr>
            <w:tcW w:w="1620" w:type="dxa"/>
            <w:tcBorders>
              <w:top w:val="single" w:sz="4" w:space="0" w:color="auto"/>
              <w:left w:val="single" w:sz="8" w:space="0" w:color="000000"/>
              <w:bottom w:val="single" w:sz="4" w:space="0" w:color="000000"/>
              <w:right w:val="single" w:sz="8" w:space="0" w:color="000000"/>
            </w:tcBorders>
            <w:vAlign w:val="center"/>
          </w:tcPr>
          <w:p w14:paraId="2A4F7E63" w14:textId="7D928281"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$52.73 M</w:t>
            </w:r>
          </w:p>
        </w:tc>
        <w:tc>
          <w:tcPr>
            <w:tcW w:w="1620" w:type="dxa"/>
            <w:tcBorders>
              <w:top w:val="single" w:sz="4" w:space="0" w:color="auto"/>
              <w:left w:val="single" w:sz="8" w:space="0" w:color="000000"/>
              <w:bottom w:val="single" w:sz="4" w:space="0" w:color="000000"/>
              <w:right w:val="single" w:sz="12" w:space="0" w:color="000000"/>
            </w:tcBorders>
            <w:vAlign w:val="center"/>
          </w:tcPr>
          <w:p w14:paraId="46B05BA7" w14:textId="52DAA2F0"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$208.49 M</w:t>
            </w:r>
          </w:p>
        </w:tc>
      </w:tr>
      <w:tr w:rsidR="00197C34" w:rsidRPr="005C50FD" w14:paraId="5C830B1E" w14:textId="77777777" w:rsidTr="00197C34">
        <w:trPr>
          <w:trHeight w:val="243"/>
          <w:jc w:val="center"/>
        </w:trPr>
        <w:tc>
          <w:tcPr>
            <w:tcW w:w="1530" w:type="dxa"/>
            <w:tcBorders>
              <w:top w:val="single" w:sz="4" w:space="0" w:color="auto"/>
              <w:left w:val="single" w:sz="12" w:space="0" w:color="000000"/>
              <w:bottom w:val="single" w:sz="4" w:space="0" w:color="000000"/>
              <w:right w:val="single" w:sz="18" w:space="0" w:color="000000"/>
            </w:tcBorders>
            <w:vAlign w:val="center"/>
          </w:tcPr>
          <w:p w14:paraId="2B65AB25" w14:textId="1B8B22C0" w:rsidR="00197C34" w:rsidRPr="005C50FD" w:rsidRDefault="00197C34" w:rsidP="00272418">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7/15/18</w:t>
            </w:r>
          </w:p>
        </w:tc>
        <w:tc>
          <w:tcPr>
            <w:tcW w:w="1605" w:type="dxa"/>
            <w:tcBorders>
              <w:top w:val="single" w:sz="4" w:space="0" w:color="auto"/>
              <w:left w:val="single" w:sz="18" w:space="0" w:color="000000"/>
              <w:bottom w:val="single" w:sz="4" w:space="0" w:color="000000"/>
              <w:right w:val="single" w:sz="8" w:space="0" w:color="000000"/>
            </w:tcBorders>
            <w:vAlign w:val="center"/>
          </w:tcPr>
          <w:p w14:paraId="76636389" w14:textId="32C9E69A"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$18.08 M</w:t>
            </w:r>
          </w:p>
        </w:tc>
        <w:tc>
          <w:tcPr>
            <w:tcW w:w="1710" w:type="dxa"/>
            <w:tcBorders>
              <w:top w:val="single" w:sz="4" w:space="0" w:color="auto"/>
              <w:left w:val="single" w:sz="8" w:space="0" w:color="000000"/>
              <w:bottom w:val="single" w:sz="4" w:space="0" w:color="000000"/>
              <w:right w:val="single" w:sz="8" w:space="0" w:color="000000"/>
            </w:tcBorders>
            <w:vAlign w:val="center"/>
          </w:tcPr>
          <w:p w14:paraId="5DEE6858" w14:textId="5E20C0B2"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$44.07 M</w:t>
            </w:r>
          </w:p>
        </w:tc>
        <w:tc>
          <w:tcPr>
            <w:tcW w:w="1620" w:type="dxa"/>
            <w:tcBorders>
              <w:top w:val="single" w:sz="4" w:space="0" w:color="auto"/>
              <w:left w:val="single" w:sz="8" w:space="0" w:color="000000"/>
              <w:bottom w:val="single" w:sz="4" w:space="0" w:color="000000"/>
              <w:right w:val="single" w:sz="8" w:space="0" w:color="000000"/>
            </w:tcBorders>
            <w:vAlign w:val="center"/>
          </w:tcPr>
          <w:p w14:paraId="1E25CF43" w14:textId="6E2D7243" w:rsidR="00197C34" w:rsidRPr="005C50FD" w:rsidRDefault="007F39A8"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$41.56 M</w:t>
            </w:r>
          </w:p>
        </w:tc>
        <w:tc>
          <w:tcPr>
            <w:tcW w:w="1620" w:type="dxa"/>
            <w:tcBorders>
              <w:top w:val="single" w:sz="4" w:space="0" w:color="auto"/>
              <w:left w:val="single" w:sz="8" w:space="0" w:color="000000"/>
              <w:bottom w:val="single" w:sz="4" w:space="0" w:color="000000"/>
              <w:right w:val="single" w:sz="12" w:space="0" w:color="000000"/>
            </w:tcBorders>
            <w:vAlign w:val="center"/>
          </w:tcPr>
          <w:p w14:paraId="2B8D0845" w14:textId="43B0F693"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$74.74 M</w:t>
            </w:r>
          </w:p>
        </w:tc>
      </w:tr>
      <w:tr w:rsidR="00197C34" w:rsidRPr="005C50FD" w14:paraId="7A943850" w14:textId="77777777" w:rsidTr="006F776E">
        <w:trPr>
          <w:trHeight w:val="243"/>
          <w:jc w:val="center"/>
        </w:trPr>
        <w:tc>
          <w:tcPr>
            <w:tcW w:w="1530" w:type="dxa"/>
            <w:tcBorders>
              <w:top w:val="single" w:sz="4" w:space="0" w:color="000000"/>
              <w:left w:val="single" w:sz="12" w:space="0" w:color="000000"/>
              <w:bottom w:val="single" w:sz="18" w:space="0" w:color="000000"/>
              <w:right w:val="single" w:sz="18" w:space="0" w:color="000000"/>
            </w:tcBorders>
            <w:vAlign w:val="center"/>
          </w:tcPr>
          <w:p w14:paraId="127ADAA2" w14:textId="2BC0BB1C" w:rsidR="00197C34" w:rsidRPr="005C50FD" w:rsidRDefault="00197C34" w:rsidP="00272418">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8/12/18</w:t>
            </w:r>
          </w:p>
        </w:tc>
        <w:tc>
          <w:tcPr>
            <w:tcW w:w="1605" w:type="dxa"/>
            <w:tcBorders>
              <w:top w:val="single" w:sz="4" w:space="0" w:color="000000"/>
              <w:left w:val="single" w:sz="18" w:space="0" w:color="000000"/>
              <w:bottom w:val="single" w:sz="18" w:space="0" w:color="000000"/>
              <w:right w:val="single" w:sz="8" w:space="0" w:color="000000"/>
            </w:tcBorders>
            <w:vAlign w:val="center"/>
          </w:tcPr>
          <w:p w14:paraId="0E224655" w14:textId="236E6B26" w:rsidR="00197C34" w:rsidRPr="005C50FD" w:rsidRDefault="007F39A8"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$19.86 M</w:t>
            </w:r>
          </w:p>
        </w:tc>
        <w:tc>
          <w:tcPr>
            <w:tcW w:w="1710" w:type="dxa"/>
            <w:tcBorders>
              <w:top w:val="single" w:sz="4" w:space="0" w:color="000000"/>
              <w:left w:val="single" w:sz="8" w:space="0" w:color="000000"/>
              <w:bottom w:val="single" w:sz="18" w:space="0" w:color="000000"/>
              <w:right w:val="single" w:sz="8" w:space="0" w:color="000000"/>
            </w:tcBorders>
            <w:vAlign w:val="center"/>
          </w:tcPr>
          <w:p w14:paraId="53F0D74F" w14:textId="6B21B932" w:rsidR="00197C34" w:rsidRPr="005C50FD" w:rsidRDefault="007F39A8"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$38.14 M</w:t>
            </w:r>
          </w:p>
        </w:tc>
        <w:tc>
          <w:tcPr>
            <w:tcW w:w="1620" w:type="dxa"/>
            <w:tcBorders>
              <w:top w:val="single" w:sz="4" w:space="0" w:color="000000"/>
              <w:left w:val="single" w:sz="8" w:space="0" w:color="000000"/>
              <w:bottom w:val="single" w:sz="18" w:space="0" w:color="000000"/>
              <w:right w:val="single" w:sz="8" w:space="0" w:color="000000"/>
            </w:tcBorders>
            <w:vAlign w:val="center"/>
          </w:tcPr>
          <w:p w14:paraId="5980E6E3" w14:textId="402F740D" w:rsidR="00197C34" w:rsidRPr="005C50FD" w:rsidRDefault="007F39A8"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$39.20 M</w:t>
            </w:r>
          </w:p>
        </w:tc>
        <w:tc>
          <w:tcPr>
            <w:tcW w:w="1620" w:type="dxa"/>
            <w:tcBorders>
              <w:top w:val="single" w:sz="4" w:space="0" w:color="000000"/>
              <w:left w:val="single" w:sz="8" w:space="0" w:color="000000"/>
              <w:bottom w:val="single" w:sz="18" w:space="0" w:color="000000"/>
              <w:right w:val="single" w:sz="12" w:space="0" w:color="000000"/>
            </w:tcBorders>
            <w:vAlign w:val="center"/>
          </w:tcPr>
          <w:p w14:paraId="41266F9A" w14:textId="57A0B10C" w:rsidR="00197C34" w:rsidRPr="005C50FD" w:rsidRDefault="007F39A8"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$22.08 M</w:t>
            </w:r>
          </w:p>
        </w:tc>
      </w:tr>
      <w:tr w:rsidR="00197C34" w:rsidRPr="005C50FD" w14:paraId="3B7B3307" w14:textId="77777777" w:rsidTr="006F776E">
        <w:trPr>
          <w:trHeight w:val="243"/>
          <w:jc w:val="center"/>
        </w:trPr>
        <w:tc>
          <w:tcPr>
            <w:tcW w:w="1530" w:type="dxa"/>
            <w:tcBorders>
              <w:top w:val="single" w:sz="18" w:space="0" w:color="000000"/>
              <w:left w:val="single" w:sz="12" w:space="0" w:color="000000"/>
              <w:bottom w:val="single" w:sz="12" w:space="0" w:color="000000"/>
              <w:right w:val="single" w:sz="18" w:space="0" w:color="000000"/>
            </w:tcBorders>
            <w:vAlign w:val="center"/>
          </w:tcPr>
          <w:p w14:paraId="1FD5B1CB" w14:textId="53D9FA9F" w:rsidR="00197C34" w:rsidRPr="005C50FD" w:rsidRDefault="00197C34" w:rsidP="00197C34">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5C50FD">
              <w:rPr>
                <w:rFonts w:ascii="Verdana" w:eastAsia="Times New Roman" w:hAnsi="Verdana"/>
                <w:sz w:val="20"/>
                <w:szCs w:val="20"/>
              </w:rPr>
              <w:t>Date*</w:t>
            </w:r>
          </w:p>
        </w:tc>
        <w:tc>
          <w:tcPr>
            <w:tcW w:w="1605" w:type="dxa"/>
            <w:tcBorders>
              <w:top w:val="single" w:sz="18" w:space="0" w:color="000000"/>
              <w:left w:val="single" w:sz="18" w:space="0" w:color="000000"/>
              <w:bottom w:val="single" w:sz="12" w:space="0" w:color="000000"/>
              <w:right w:val="single" w:sz="8" w:space="0" w:color="000000"/>
            </w:tcBorders>
            <w:vAlign w:val="center"/>
          </w:tcPr>
          <w:p w14:paraId="6412737D" w14:textId="60477130" w:rsidR="00197C34" w:rsidRPr="005C50FD" w:rsidRDefault="00197C34" w:rsidP="00197C34">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5C50FD">
              <w:rPr>
                <w:rFonts w:ascii="Verdana" w:eastAsia="Times New Roman" w:hAnsi="Verdana"/>
                <w:sz w:val="20"/>
                <w:szCs w:val="20"/>
              </w:rPr>
              <w:t>Potted Plant</w:t>
            </w:r>
          </w:p>
        </w:tc>
        <w:tc>
          <w:tcPr>
            <w:tcW w:w="1710" w:type="dxa"/>
            <w:tcBorders>
              <w:top w:val="single" w:sz="18" w:space="0" w:color="000000"/>
              <w:left w:val="single" w:sz="8" w:space="0" w:color="000000"/>
              <w:bottom w:val="single" w:sz="12" w:space="0" w:color="000000"/>
              <w:right w:val="single" w:sz="8" w:space="0" w:color="000000"/>
            </w:tcBorders>
            <w:vAlign w:val="center"/>
          </w:tcPr>
          <w:p w14:paraId="32E56BD6" w14:textId="2BE16DCD" w:rsidR="00197C34" w:rsidRPr="005C50FD" w:rsidRDefault="00197C34" w:rsidP="00197C34">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5C50FD">
              <w:rPr>
                <w:rFonts w:ascii="Verdana" w:eastAsia="Times New Roman" w:hAnsi="Verdana"/>
                <w:sz w:val="20"/>
                <w:szCs w:val="20"/>
              </w:rPr>
              <w:t>Rose</w:t>
            </w:r>
          </w:p>
        </w:tc>
        <w:tc>
          <w:tcPr>
            <w:tcW w:w="1620" w:type="dxa"/>
            <w:tcBorders>
              <w:top w:val="single" w:sz="18" w:space="0" w:color="000000"/>
              <w:left w:val="single" w:sz="8" w:space="0" w:color="000000"/>
              <w:bottom w:val="single" w:sz="12" w:space="0" w:color="000000"/>
              <w:right w:val="single" w:sz="8" w:space="0" w:color="000000"/>
            </w:tcBorders>
            <w:vAlign w:val="center"/>
          </w:tcPr>
          <w:p w14:paraId="2666BA06" w14:textId="44BFC146" w:rsidR="00197C34" w:rsidRPr="005C50FD" w:rsidRDefault="00197C34" w:rsidP="00197C34">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5C50FD">
              <w:rPr>
                <w:rFonts w:ascii="Verdana" w:eastAsia="Times New Roman" w:hAnsi="Verdana"/>
                <w:sz w:val="20"/>
                <w:szCs w:val="20"/>
              </w:rPr>
              <w:t>Other Floral</w:t>
            </w:r>
          </w:p>
        </w:tc>
        <w:tc>
          <w:tcPr>
            <w:tcW w:w="1620" w:type="dxa"/>
            <w:tcBorders>
              <w:top w:val="single" w:sz="18" w:space="0" w:color="000000"/>
              <w:left w:val="single" w:sz="8" w:space="0" w:color="000000"/>
              <w:bottom w:val="single" w:sz="12" w:space="0" w:color="000000"/>
              <w:right w:val="single" w:sz="12" w:space="0" w:color="000000"/>
            </w:tcBorders>
            <w:shd w:val="clear" w:color="auto" w:fill="BFBFBF" w:themeFill="background1" w:themeFillShade="BF"/>
            <w:vAlign w:val="center"/>
          </w:tcPr>
          <w:p w14:paraId="4DFB4462" w14:textId="77777777" w:rsidR="00197C34" w:rsidRPr="005C50FD" w:rsidRDefault="00197C34" w:rsidP="00197C34">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p>
        </w:tc>
      </w:tr>
      <w:tr w:rsidR="00197C34" w:rsidRPr="005C50FD" w14:paraId="2B552206" w14:textId="77777777" w:rsidTr="006F776E">
        <w:trPr>
          <w:trHeight w:val="243"/>
          <w:jc w:val="center"/>
        </w:trPr>
        <w:tc>
          <w:tcPr>
            <w:tcW w:w="1530" w:type="dxa"/>
            <w:tcBorders>
              <w:top w:val="single" w:sz="12" w:space="0" w:color="000000"/>
              <w:left w:val="single" w:sz="12" w:space="0" w:color="000000"/>
              <w:bottom w:val="single" w:sz="4" w:space="0" w:color="000000"/>
              <w:right w:val="single" w:sz="18" w:space="0" w:color="000000"/>
            </w:tcBorders>
            <w:vAlign w:val="center"/>
          </w:tcPr>
          <w:p w14:paraId="7507EDD1" w14:textId="5AA4A523" w:rsidR="00197C34" w:rsidRPr="005C50FD" w:rsidRDefault="00197C34" w:rsidP="00197C34">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1/28/18</w:t>
            </w:r>
          </w:p>
        </w:tc>
        <w:tc>
          <w:tcPr>
            <w:tcW w:w="1605" w:type="dxa"/>
            <w:tcBorders>
              <w:top w:val="single" w:sz="12" w:space="0" w:color="000000"/>
              <w:left w:val="single" w:sz="18" w:space="0" w:color="000000"/>
              <w:bottom w:val="single" w:sz="4" w:space="0" w:color="000000"/>
              <w:right w:val="single" w:sz="8" w:space="0" w:color="000000"/>
            </w:tcBorders>
            <w:vAlign w:val="center"/>
          </w:tcPr>
          <w:p w14:paraId="4C3B594B" w14:textId="79FCEE24"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$29.59 M</w:t>
            </w:r>
          </w:p>
        </w:tc>
        <w:tc>
          <w:tcPr>
            <w:tcW w:w="1710" w:type="dxa"/>
            <w:tcBorders>
              <w:top w:val="single" w:sz="12" w:space="0" w:color="000000"/>
              <w:left w:val="single" w:sz="8" w:space="0" w:color="000000"/>
              <w:bottom w:val="single" w:sz="4" w:space="0" w:color="000000"/>
              <w:right w:val="single" w:sz="8" w:space="0" w:color="000000"/>
            </w:tcBorders>
            <w:vAlign w:val="center"/>
          </w:tcPr>
          <w:p w14:paraId="1BDD8184" w14:textId="3C056B85"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$35.74 M</w:t>
            </w:r>
          </w:p>
        </w:tc>
        <w:tc>
          <w:tcPr>
            <w:tcW w:w="1620" w:type="dxa"/>
            <w:tcBorders>
              <w:top w:val="single" w:sz="12" w:space="0" w:color="000000"/>
              <w:left w:val="single" w:sz="8" w:space="0" w:color="000000"/>
              <w:bottom w:val="single" w:sz="4" w:space="0" w:color="000000"/>
              <w:right w:val="single" w:sz="8" w:space="0" w:color="000000"/>
            </w:tcBorders>
            <w:vAlign w:val="center"/>
          </w:tcPr>
          <w:p w14:paraId="1BBE74AE" w14:textId="20A3E303"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$18.75 M</w:t>
            </w:r>
          </w:p>
        </w:tc>
        <w:tc>
          <w:tcPr>
            <w:tcW w:w="1620" w:type="dxa"/>
            <w:tcBorders>
              <w:top w:val="single" w:sz="12" w:space="0" w:color="000000"/>
              <w:left w:val="single" w:sz="8" w:space="0" w:color="000000"/>
              <w:bottom w:val="single" w:sz="4" w:space="0" w:color="000000"/>
              <w:right w:val="single" w:sz="12" w:space="0" w:color="000000"/>
            </w:tcBorders>
            <w:shd w:val="clear" w:color="auto" w:fill="BFBFBF" w:themeFill="background1" w:themeFillShade="BF"/>
            <w:vAlign w:val="center"/>
          </w:tcPr>
          <w:p w14:paraId="748EF4E0" w14:textId="77777777"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p>
        </w:tc>
      </w:tr>
      <w:tr w:rsidR="00197C34" w:rsidRPr="005C50FD" w14:paraId="4C92837D" w14:textId="77777777" w:rsidTr="007F39A8">
        <w:trPr>
          <w:trHeight w:val="243"/>
          <w:jc w:val="center"/>
        </w:trPr>
        <w:tc>
          <w:tcPr>
            <w:tcW w:w="1530" w:type="dxa"/>
            <w:tcBorders>
              <w:top w:val="single" w:sz="4" w:space="0" w:color="auto"/>
              <w:left w:val="single" w:sz="12" w:space="0" w:color="000000"/>
              <w:bottom w:val="single" w:sz="4" w:space="0" w:color="000000"/>
              <w:right w:val="single" w:sz="18" w:space="0" w:color="000000"/>
            </w:tcBorders>
            <w:vAlign w:val="center"/>
          </w:tcPr>
          <w:p w14:paraId="03CEC19C" w14:textId="7960196F" w:rsidR="00197C34" w:rsidRPr="005C50FD" w:rsidRDefault="00197C34" w:rsidP="00197C34">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2/25/18</w:t>
            </w:r>
          </w:p>
        </w:tc>
        <w:tc>
          <w:tcPr>
            <w:tcW w:w="1605" w:type="dxa"/>
            <w:tcBorders>
              <w:top w:val="single" w:sz="4" w:space="0" w:color="auto"/>
              <w:left w:val="single" w:sz="18" w:space="0" w:color="000000"/>
              <w:bottom w:val="single" w:sz="4" w:space="0" w:color="000000"/>
              <w:right w:val="single" w:sz="8" w:space="0" w:color="000000"/>
            </w:tcBorders>
            <w:vAlign w:val="center"/>
          </w:tcPr>
          <w:p w14:paraId="2DE620AA" w14:textId="609A1BD7"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$85.86 M</w:t>
            </w:r>
          </w:p>
        </w:tc>
        <w:tc>
          <w:tcPr>
            <w:tcW w:w="1710" w:type="dxa"/>
            <w:tcBorders>
              <w:top w:val="single" w:sz="4" w:space="0" w:color="auto"/>
              <w:left w:val="single" w:sz="8" w:space="0" w:color="000000"/>
              <w:bottom w:val="single" w:sz="4" w:space="0" w:color="000000"/>
              <w:right w:val="single" w:sz="8" w:space="0" w:color="000000"/>
            </w:tcBorders>
            <w:vAlign w:val="center"/>
          </w:tcPr>
          <w:p w14:paraId="707FECED" w14:textId="5F3B4A9B"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$191.45 M</w:t>
            </w:r>
          </w:p>
        </w:tc>
        <w:tc>
          <w:tcPr>
            <w:tcW w:w="1620" w:type="dxa"/>
            <w:tcBorders>
              <w:top w:val="single" w:sz="4" w:space="0" w:color="auto"/>
              <w:left w:val="single" w:sz="8" w:space="0" w:color="000000"/>
              <w:bottom w:val="single" w:sz="4" w:space="0" w:color="000000"/>
              <w:right w:val="single" w:sz="8" w:space="0" w:color="000000"/>
            </w:tcBorders>
            <w:vAlign w:val="center"/>
          </w:tcPr>
          <w:p w14:paraId="76B131C3" w14:textId="73EA402B"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$43.96 M</w:t>
            </w:r>
          </w:p>
        </w:tc>
        <w:tc>
          <w:tcPr>
            <w:tcW w:w="1620" w:type="dxa"/>
            <w:tcBorders>
              <w:top w:val="single" w:sz="4" w:space="0" w:color="000000"/>
              <w:left w:val="single" w:sz="8" w:space="0" w:color="000000"/>
              <w:bottom w:val="single" w:sz="4" w:space="0" w:color="000000"/>
              <w:right w:val="single" w:sz="12" w:space="0" w:color="000000"/>
            </w:tcBorders>
            <w:shd w:val="clear" w:color="auto" w:fill="BFBFBF" w:themeFill="background1" w:themeFillShade="BF"/>
            <w:vAlign w:val="center"/>
          </w:tcPr>
          <w:p w14:paraId="06CEF4D0" w14:textId="77777777"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p>
        </w:tc>
      </w:tr>
      <w:tr w:rsidR="00197C34" w:rsidRPr="005C50FD" w14:paraId="0E5649B4" w14:textId="77777777" w:rsidTr="007F39A8">
        <w:trPr>
          <w:trHeight w:val="243"/>
          <w:jc w:val="center"/>
        </w:trPr>
        <w:tc>
          <w:tcPr>
            <w:tcW w:w="1530" w:type="dxa"/>
            <w:tcBorders>
              <w:top w:val="single" w:sz="4" w:space="0" w:color="auto"/>
              <w:left w:val="single" w:sz="12" w:space="0" w:color="000000"/>
              <w:bottom w:val="single" w:sz="4" w:space="0" w:color="000000"/>
              <w:right w:val="single" w:sz="18" w:space="0" w:color="000000"/>
            </w:tcBorders>
            <w:vAlign w:val="center"/>
          </w:tcPr>
          <w:p w14:paraId="1F487527" w14:textId="76BCC2D6" w:rsidR="00197C34" w:rsidRPr="005C50FD" w:rsidRDefault="00197C34" w:rsidP="00197C34">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3/25/18</w:t>
            </w:r>
          </w:p>
        </w:tc>
        <w:tc>
          <w:tcPr>
            <w:tcW w:w="1605" w:type="dxa"/>
            <w:tcBorders>
              <w:top w:val="single" w:sz="4" w:space="0" w:color="auto"/>
              <w:left w:val="single" w:sz="18" w:space="0" w:color="000000"/>
              <w:bottom w:val="single" w:sz="4" w:space="0" w:color="000000"/>
              <w:right w:val="single" w:sz="8" w:space="0" w:color="000000"/>
            </w:tcBorders>
            <w:vAlign w:val="center"/>
          </w:tcPr>
          <w:p w14:paraId="39C310C4" w14:textId="31B71741"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$63.69 M</w:t>
            </w:r>
          </w:p>
        </w:tc>
        <w:tc>
          <w:tcPr>
            <w:tcW w:w="1710" w:type="dxa"/>
            <w:tcBorders>
              <w:top w:val="single" w:sz="4" w:space="0" w:color="auto"/>
              <w:left w:val="single" w:sz="8" w:space="0" w:color="000000"/>
              <w:bottom w:val="single" w:sz="4" w:space="0" w:color="000000"/>
              <w:right w:val="single" w:sz="8" w:space="0" w:color="000000"/>
            </w:tcBorders>
            <w:vAlign w:val="center"/>
          </w:tcPr>
          <w:p w14:paraId="0B670081" w14:textId="1CC8DEA8"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$40.25 M</w:t>
            </w:r>
          </w:p>
        </w:tc>
        <w:tc>
          <w:tcPr>
            <w:tcW w:w="1620" w:type="dxa"/>
            <w:tcBorders>
              <w:top w:val="single" w:sz="4" w:space="0" w:color="auto"/>
              <w:left w:val="single" w:sz="8" w:space="0" w:color="000000"/>
              <w:bottom w:val="single" w:sz="4" w:space="0" w:color="000000"/>
              <w:right w:val="single" w:sz="8" w:space="0" w:color="000000"/>
            </w:tcBorders>
            <w:vAlign w:val="center"/>
          </w:tcPr>
          <w:p w14:paraId="098B0B6A" w14:textId="4ED164EA"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$50.87 M</w:t>
            </w:r>
          </w:p>
        </w:tc>
        <w:tc>
          <w:tcPr>
            <w:tcW w:w="1620" w:type="dxa"/>
            <w:tcBorders>
              <w:top w:val="single" w:sz="4" w:space="0" w:color="000000"/>
              <w:left w:val="single" w:sz="8" w:space="0" w:color="000000"/>
              <w:bottom w:val="single" w:sz="4" w:space="0" w:color="000000"/>
              <w:right w:val="single" w:sz="12" w:space="0" w:color="000000"/>
            </w:tcBorders>
            <w:shd w:val="clear" w:color="auto" w:fill="BFBFBF" w:themeFill="background1" w:themeFillShade="BF"/>
            <w:vAlign w:val="center"/>
          </w:tcPr>
          <w:p w14:paraId="36419DFA" w14:textId="77777777"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p>
        </w:tc>
      </w:tr>
      <w:tr w:rsidR="00197C34" w:rsidRPr="005C50FD" w14:paraId="68467CEA" w14:textId="77777777" w:rsidTr="007F39A8">
        <w:trPr>
          <w:trHeight w:val="243"/>
          <w:jc w:val="center"/>
        </w:trPr>
        <w:tc>
          <w:tcPr>
            <w:tcW w:w="1530" w:type="dxa"/>
            <w:tcBorders>
              <w:top w:val="single" w:sz="4" w:space="0" w:color="auto"/>
              <w:left w:val="single" w:sz="12" w:space="0" w:color="000000"/>
              <w:bottom w:val="single" w:sz="4" w:space="0" w:color="000000"/>
              <w:right w:val="single" w:sz="18" w:space="0" w:color="000000"/>
            </w:tcBorders>
            <w:vAlign w:val="center"/>
          </w:tcPr>
          <w:p w14:paraId="4F780AF7" w14:textId="428B9456" w:rsidR="00197C34" w:rsidRPr="005C50FD" w:rsidRDefault="00197C34" w:rsidP="00197C34">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4/22/18</w:t>
            </w:r>
          </w:p>
        </w:tc>
        <w:tc>
          <w:tcPr>
            <w:tcW w:w="1605" w:type="dxa"/>
            <w:tcBorders>
              <w:top w:val="single" w:sz="4" w:space="0" w:color="auto"/>
              <w:left w:val="single" w:sz="18" w:space="0" w:color="000000"/>
              <w:bottom w:val="single" w:sz="4" w:space="0" w:color="000000"/>
              <w:right w:val="single" w:sz="8" w:space="0" w:color="000000"/>
            </w:tcBorders>
            <w:vAlign w:val="center"/>
          </w:tcPr>
          <w:p w14:paraId="4B49906E" w14:textId="1E31BC69"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$108.29 M</w:t>
            </w:r>
          </w:p>
        </w:tc>
        <w:tc>
          <w:tcPr>
            <w:tcW w:w="1710" w:type="dxa"/>
            <w:tcBorders>
              <w:top w:val="single" w:sz="4" w:space="0" w:color="auto"/>
              <w:left w:val="single" w:sz="8" w:space="0" w:color="000000"/>
              <w:bottom w:val="single" w:sz="4" w:space="0" w:color="000000"/>
              <w:right w:val="single" w:sz="8" w:space="0" w:color="000000"/>
            </w:tcBorders>
            <w:vAlign w:val="center"/>
          </w:tcPr>
          <w:p w14:paraId="6036989C" w14:textId="25AB9AF3"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$42.81 M</w:t>
            </w:r>
          </w:p>
        </w:tc>
        <w:tc>
          <w:tcPr>
            <w:tcW w:w="1620" w:type="dxa"/>
            <w:tcBorders>
              <w:top w:val="single" w:sz="4" w:space="0" w:color="auto"/>
              <w:left w:val="single" w:sz="8" w:space="0" w:color="000000"/>
              <w:bottom w:val="single" w:sz="4" w:space="0" w:color="000000"/>
              <w:right w:val="single" w:sz="8" w:space="0" w:color="000000"/>
            </w:tcBorders>
            <w:vAlign w:val="center"/>
          </w:tcPr>
          <w:p w14:paraId="298991E8" w14:textId="6DBAA138"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$57.00 M</w:t>
            </w:r>
          </w:p>
        </w:tc>
        <w:tc>
          <w:tcPr>
            <w:tcW w:w="1620" w:type="dxa"/>
            <w:tcBorders>
              <w:top w:val="single" w:sz="4" w:space="0" w:color="000000"/>
              <w:left w:val="single" w:sz="8" w:space="0" w:color="000000"/>
              <w:bottom w:val="single" w:sz="4" w:space="0" w:color="000000"/>
              <w:right w:val="single" w:sz="12" w:space="0" w:color="000000"/>
            </w:tcBorders>
            <w:shd w:val="clear" w:color="auto" w:fill="BFBFBF" w:themeFill="background1" w:themeFillShade="BF"/>
            <w:vAlign w:val="center"/>
          </w:tcPr>
          <w:p w14:paraId="1DAF4714" w14:textId="77777777"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p>
        </w:tc>
      </w:tr>
      <w:tr w:rsidR="00197C34" w:rsidRPr="005C50FD" w14:paraId="46911E1B" w14:textId="77777777" w:rsidTr="007F39A8">
        <w:trPr>
          <w:trHeight w:val="243"/>
          <w:jc w:val="center"/>
        </w:trPr>
        <w:tc>
          <w:tcPr>
            <w:tcW w:w="1530" w:type="dxa"/>
            <w:tcBorders>
              <w:top w:val="single" w:sz="4" w:space="0" w:color="auto"/>
              <w:left w:val="single" w:sz="12" w:space="0" w:color="000000"/>
              <w:bottom w:val="single" w:sz="4" w:space="0" w:color="000000"/>
              <w:right w:val="single" w:sz="18" w:space="0" w:color="000000"/>
            </w:tcBorders>
            <w:vAlign w:val="center"/>
          </w:tcPr>
          <w:p w14:paraId="13A438EE" w14:textId="7FC6862C" w:rsidR="00197C34" w:rsidRPr="005C50FD" w:rsidRDefault="00197C34" w:rsidP="00197C34">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5/20/18</w:t>
            </w:r>
          </w:p>
        </w:tc>
        <w:tc>
          <w:tcPr>
            <w:tcW w:w="1605" w:type="dxa"/>
            <w:tcBorders>
              <w:top w:val="single" w:sz="4" w:space="0" w:color="auto"/>
              <w:left w:val="single" w:sz="18" w:space="0" w:color="000000"/>
              <w:bottom w:val="single" w:sz="4" w:space="0" w:color="000000"/>
              <w:right w:val="single" w:sz="8" w:space="0" w:color="000000"/>
            </w:tcBorders>
            <w:vAlign w:val="center"/>
          </w:tcPr>
          <w:p w14:paraId="1E28AE85" w14:textId="6C8509FB"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$151.21 M</w:t>
            </w:r>
          </w:p>
        </w:tc>
        <w:tc>
          <w:tcPr>
            <w:tcW w:w="1710" w:type="dxa"/>
            <w:tcBorders>
              <w:top w:val="single" w:sz="4" w:space="0" w:color="auto"/>
              <w:left w:val="single" w:sz="8" w:space="0" w:color="000000"/>
              <w:bottom w:val="single" w:sz="4" w:space="0" w:color="000000"/>
              <w:right w:val="single" w:sz="8" w:space="0" w:color="000000"/>
            </w:tcBorders>
            <w:vAlign w:val="center"/>
          </w:tcPr>
          <w:p w14:paraId="19BBF6AA" w14:textId="59E34B17"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$141.07 M</w:t>
            </w:r>
          </w:p>
        </w:tc>
        <w:tc>
          <w:tcPr>
            <w:tcW w:w="1620" w:type="dxa"/>
            <w:tcBorders>
              <w:top w:val="single" w:sz="4" w:space="0" w:color="auto"/>
              <w:left w:val="single" w:sz="8" w:space="0" w:color="000000"/>
              <w:bottom w:val="single" w:sz="4" w:space="0" w:color="000000"/>
              <w:right w:val="single" w:sz="8" w:space="0" w:color="000000"/>
            </w:tcBorders>
            <w:vAlign w:val="center"/>
          </w:tcPr>
          <w:p w14:paraId="5AF2A322" w14:textId="7F917760"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$77.62 M</w:t>
            </w:r>
          </w:p>
        </w:tc>
        <w:tc>
          <w:tcPr>
            <w:tcW w:w="1620" w:type="dxa"/>
            <w:tcBorders>
              <w:top w:val="single" w:sz="4" w:space="0" w:color="000000"/>
              <w:left w:val="single" w:sz="8" w:space="0" w:color="000000"/>
              <w:bottom w:val="single" w:sz="4" w:space="0" w:color="000000"/>
              <w:right w:val="single" w:sz="12" w:space="0" w:color="000000"/>
            </w:tcBorders>
            <w:shd w:val="clear" w:color="auto" w:fill="BFBFBF" w:themeFill="background1" w:themeFillShade="BF"/>
            <w:vAlign w:val="center"/>
          </w:tcPr>
          <w:p w14:paraId="29694537" w14:textId="77777777"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p>
        </w:tc>
      </w:tr>
      <w:tr w:rsidR="00197C34" w:rsidRPr="005C50FD" w14:paraId="2171B213" w14:textId="77777777" w:rsidTr="007F39A8">
        <w:trPr>
          <w:trHeight w:val="243"/>
          <w:jc w:val="center"/>
        </w:trPr>
        <w:tc>
          <w:tcPr>
            <w:tcW w:w="1530" w:type="dxa"/>
            <w:tcBorders>
              <w:top w:val="single" w:sz="4" w:space="0" w:color="auto"/>
              <w:left w:val="single" w:sz="12" w:space="0" w:color="000000"/>
              <w:bottom w:val="single" w:sz="4" w:space="0" w:color="000000"/>
              <w:right w:val="single" w:sz="18" w:space="0" w:color="000000"/>
            </w:tcBorders>
            <w:vAlign w:val="center"/>
          </w:tcPr>
          <w:p w14:paraId="4DAD4EAA" w14:textId="7E164B81" w:rsidR="00197C34" w:rsidRPr="005C50FD" w:rsidRDefault="00197C34" w:rsidP="00197C34">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6/17/18</w:t>
            </w:r>
          </w:p>
        </w:tc>
        <w:tc>
          <w:tcPr>
            <w:tcW w:w="1605" w:type="dxa"/>
            <w:tcBorders>
              <w:top w:val="single" w:sz="4" w:space="0" w:color="auto"/>
              <w:left w:val="single" w:sz="18" w:space="0" w:color="000000"/>
              <w:bottom w:val="single" w:sz="4" w:space="0" w:color="000000"/>
              <w:right w:val="single" w:sz="8" w:space="0" w:color="000000"/>
            </w:tcBorders>
            <w:vAlign w:val="center"/>
          </w:tcPr>
          <w:p w14:paraId="0CAFBCC8" w14:textId="47D55BC6"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$59.79 M</w:t>
            </w:r>
          </w:p>
        </w:tc>
        <w:tc>
          <w:tcPr>
            <w:tcW w:w="1710" w:type="dxa"/>
            <w:tcBorders>
              <w:top w:val="single" w:sz="4" w:space="0" w:color="auto"/>
              <w:left w:val="single" w:sz="8" w:space="0" w:color="000000"/>
              <w:bottom w:val="single" w:sz="4" w:space="0" w:color="000000"/>
              <w:right w:val="single" w:sz="8" w:space="0" w:color="000000"/>
            </w:tcBorders>
            <w:vAlign w:val="center"/>
          </w:tcPr>
          <w:p w14:paraId="4CEA0325" w14:textId="4C5E5B5B"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$50.17 M</w:t>
            </w:r>
          </w:p>
        </w:tc>
        <w:tc>
          <w:tcPr>
            <w:tcW w:w="1620" w:type="dxa"/>
            <w:tcBorders>
              <w:top w:val="single" w:sz="4" w:space="0" w:color="auto"/>
              <w:left w:val="single" w:sz="8" w:space="0" w:color="000000"/>
              <w:bottom w:val="single" w:sz="4" w:space="0" w:color="000000"/>
              <w:right w:val="single" w:sz="8" w:space="0" w:color="000000"/>
            </w:tcBorders>
            <w:vAlign w:val="center"/>
          </w:tcPr>
          <w:p w14:paraId="48878F03" w14:textId="5B83C8EF"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$39.37 M</w:t>
            </w:r>
          </w:p>
        </w:tc>
        <w:tc>
          <w:tcPr>
            <w:tcW w:w="1620" w:type="dxa"/>
            <w:tcBorders>
              <w:top w:val="single" w:sz="4" w:space="0" w:color="000000"/>
              <w:left w:val="single" w:sz="8" w:space="0" w:color="000000"/>
              <w:bottom w:val="single" w:sz="4" w:space="0" w:color="000000"/>
              <w:right w:val="single" w:sz="12" w:space="0" w:color="000000"/>
            </w:tcBorders>
            <w:shd w:val="clear" w:color="auto" w:fill="BFBFBF" w:themeFill="background1" w:themeFillShade="BF"/>
            <w:vAlign w:val="center"/>
          </w:tcPr>
          <w:p w14:paraId="13864780" w14:textId="77777777"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p>
        </w:tc>
      </w:tr>
      <w:tr w:rsidR="00197C34" w:rsidRPr="005C50FD" w14:paraId="3173DE5B" w14:textId="77777777" w:rsidTr="007F39A8">
        <w:trPr>
          <w:trHeight w:val="243"/>
          <w:jc w:val="center"/>
        </w:trPr>
        <w:tc>
          <w:tcPr>
            <w:tcW w:w="1530" w:type="dxa"/>
            <w:tcBorders>
              <w:top w:val="single" w:sz="4" w:space="0" w:color="000000"/>
              <w:left w:val="single" w:sz="12" w:space="0" w:color="000000"/>
              <w:bottom w:val="single" w:sz="4" w:space="0" w:color="000000"/>
              <w:right w:val="single" w:sz="18" w:space="0" w:color="000000"/>
            </w:tcBorders>
            <w:shd w:val="clear" w:color="auto" w:fill="auto"/>
            <w:vAlign w:val="center"/>
          </w:tcPr>
          <w:p w14:paraId="089C6A62" w14:textId="385B8814" w:rsidR="00197C34" w:rsidRPr="005C50FD" w:rsidRDefault="00197C34" w:rsidP="00197C34">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7/15/18</w:t>
            </w:r>
          </w:p>
        </w:tc>
        <w:tc>
          <w:tcPr>
            <w:tcW w:w="1605" w:type="dxa"/>
            <w:tcBorders>
              <w:top w:val="single" w:sz="4" w:space="0" w:color="000000"/>
              <w:left w:val="single" w:sz="18" w:space="0" w:color="000000"/>
              <w:bottom w:val="single" w:sz="4" w:space="0" w:color="000000"/>
              <w:right w:val="single" w:sz="8" w:space="0" w:color="000000"/>
            </w:tcBorders>
            <w:vAlign w:val="center"/>
          </w:tcPr>
          <w:p w14:paraId="73A9E766" w14:textId="77418478"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$43.55 M</w:t>
            </w:r>
          </w:p>
        </w:tc>
        <w:tc>
          <w:tcPr>
            <w:tcW w:w="1710" w:type="dxa"/>
            <w:tcBorders>
              <w:top w:val="single" w:sz="4" w:space="0" w:color="000000"/>
              <w:left w:val="single" w:sz="8" w:space="0" w:color="000000"/>
              <w:bottom w:val="single" w:sz="4" w:space="0" w:color="000000"/>
              <w:right w:val="single" w:sz="8" w:space="0" w:color="000000"/>
            </w:tcBorders>
            <w:vAlign w:val="center"/>
          </w:tcPr>
          <w:p w14:paraId="581F1DED" w14:textId="53F381FB"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$39.51 M</w:t>
            </w:r>
          </w:p>
        </w:tc>
        <w:tc>
          <w:tcPr>
            <w:tcW w:w="1620" w:type="dxa"/>
            <w:tcBorders>
              <w:top w:val="single" w:sz="4" w:space="0" w:color="000000"/>
              <w:left w:val="single" w:sz="8" w:space="0" w:color="000000"/>
              <w:bottom w:val="single" w:sz="4" w:space="0" w:color="000000"/>
              <w:right w:val="single" w:sz="8" w:space="0" w:color="000000"/>
            </w:tcBorders>
            <w:vAlign w:val="center"/>
          </w:tcPr>
          <w:p w14:paraId="3CCC0043" w14:textId="466EE96D"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$21.18 M</w:t>
            </w:r>
          </w:p>
        </w:tc>
        <w:tc>
          <w:tcPr>
            <w:tcW w:w="1620" w:type="dxa"/>
            <w:tcBorders>
              <w:top w:val="single" w:sz="4" w:space="0" w:color="000000"/>
              <w:left w:val="single" w:sz="8" w:space="0" w:color="000000"/>
              <w:bottom w:val="single" w:sz="4" w:space="0" w:color="000000"/>
              <w:right w:val="single" w:sz="12" w:space="0" w:color="000000"/>
            </w:tcBorders>
            <w:shd w:val="clear" w:color="auto" w:fill="BFBFBF" w:themeFill="background1" w:themeFillShade="BF"/>
            <w:vAlign w:val="center"/>
          </w:tcPr>
          <w:p w14:paraId="7932EB25" w14:textId="556CB09F"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p>
        </w:tc>
      </w:tr>
      <w:tr w:rsidR="00197C34" w:rsidRPr="005C50FD" w14:paraId="019F2BF0" w14:textId="77777777" w:rsidTr="007F39A8">
        <w:trPr>
          <w:trHeight w:val="243"/>
          <w:jc w:val="center"/>
        </w:trPr>
        <w:tc>
          <w:tcPr>
            <w:tcW w:w="1530" w:type="dxa"/>
            <w:tcBorders>
              <w:top w:val="single" w:sz="4" w:space="0" w:color="000000"/>
              <w:left w:val="single" w:sz="12" w:space="0" w:color="000000"/>
              <w:bottom w:val="single" w:sz="12" w:space="0" w:color="000000"/>
              <w:right w:val="single" w:sz="18" w:space="0" w:color="000000"/>
            </w:tcBorders>
            <w:shd w:val="clear" w:color="auto" w:fill="auto"/>
            <w:vAlign w:val="center"/>
          </w:tcPr>
          <w:p w14:paraId="452622E6" w14:textId="2A80369E" w:rsidR="00197C34" w:rsidRPr="005C50FD" w:rsidRDefault="00197C34" w:rsidP="00197C34">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5C50FD">
              <w:rPr>
                <w:rFonts w:ascii="Verdana" w:eastAsia="Times New Roman" w:hAnsi="Verdana"/>
                <w:sz w:val="20"/>
                <w:szCs w:val="20"/>
              </w:rPr>
              <w:t>8/12/18</w:t>
            </w:r>
          </w:p>
        </w:tc>
        <w:tc>
          <w:tcPr>
            <w:tcW w:w="1605" w:type="dxa"/>
            <w:tcBorders>
              <w:top w:val="single" w:sz="4" w:space="0" w:color="000000"/>
              <w:left w:val="single" w:sz="18" w:space="0" w:color="000000"/>
              <w:bottom w:val="single" w:sz="12" w:space="0" w:color="000000"/>
              <w:right w:val="single" w:sz="8" w:space="0" w:color="000000"/>
            </w:tcBorders>
            <w:vAlign w:val="center"/>
          </w:tcPr>
          <w:p w14:paraId="6315A33A" w14:textId="2E9C388C" w:rsidR="00197C34" w:rsidRPr="005C50FD" w:rsidRDefault="007F39A8"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$36.22 M</w:t>
            </w:r>
          </w:p>
        </w:tc>
        <w:tc>
          <w:tcPr>
            <w:tcW w:w="1710" w:type="dxa"/>
            <w:tcBorders>
              <w:top w:val="single" w:sz="4" w:space="0" w:color="000000"/>
              <w:left w:val="single" w:sz="8" w:space="0" w:color="000000"/>
              <w:bottom w:val="single" w:sz="12" w:space="0" w:color="000000"/>
              <w:right w:val="single" w:sz="8" w:space="0" w:color="000000"/>
            </w:tcBorders>
            <w:vAlign w:val="center"/>
          </w:tcPr>
          <w:p w14:paraId="5023C176" w14:textId="24632BDB" w:rsidR="00197C34" w:rsidRPr="005C50FD" w:rsidRDefault="007F39A8"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$39.31 M</w:t>
            </w:r>
          </w:p>
        </w:tc>
        <w:tc>
          <w:tcPr>
            <w:tcW w:w="1620" w:type="dxa"/>
            <w:tcBorders>
              <w:top w:val="single" w:sz="4" w:space="0" w:color="000000"/>
              <w:left w:val="single" w:sz="8" w:space="0" w:color="000000"/>
              <w:bottom w:val="single" w:sz="12" w:space="0" w:color="000000"/>
              <w:right w:val="single" w:sz="8" w:space="0" w:color="000000"/>
            </w:tcBorders>
            <w:vAlign w:val="center"/>
          </w:tcPr>
          <w:p w14:paraId="06C19A19" w14:textId="435C5128" w:rsidR="00197C34" w:rsidRPr="005C50FD" w:rsidRDefault="007F39A8"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sidRPr="005C50FD">
              <w:rPr>
                <w:rFonts w:ascii="Verdana" w:eastAsia="Times New Roman" w:hAnsi="Verdana"/>
                <w:sz w:val="20"/>
                <w:szCs w:val="20"/>
              </w:rPr>
              <w:t>$17.50 M</w:t>
            </w:r>
          </w:p>
        </w:tc>
        <w:tc>
          <w:tcPr>
            <w:tcW w:w="1620" w:type="dxa"/>
            <w:tcBorders>
              <w:top w:val="single" w:sz="4" w:space="0" w:color="000000"/>
              <w:left w:val="single" w:sz="8" w:space="0" w:color="000000"/>
              <w:bottom w:val="single" w:sz="12" w:space="0" w:color="000000"/>
              <w:right w:val="single" w:sz="12" w:space="0" w:color="000000"/>
            </w:tcBorders>
            <w:shd w:val="clear" w:color="auto" w:fill="BFBFBF" w:themeFill="background1" w:themeFillShade="BF"/>
            <w:vAlign w:val="center"/>
          </w:tcPr>
          <w:p w14:paraId="4C415679" w14:textId="1A407D83" w:rsidR="00197C34" w:rsidRPr="005C50FD" w:rsidRDefault="00197C34" w:rsidP="00197C34">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p>
        </w:tc>
      </w:tr>
    </w:tbl>
    <w:p w14:paraId="526550B5" w14:textId="173D7E62" w:rsidR="00260945" w:rsidRPr="005C50FD" w:rsidRDefault="00260945" w:rsidP="007F39A8">
      <w:pPr>
        <w:tabs>
          <w:tab w:val="left" w:pos="630"/>
        </w:tabs>
        <w:spacing w:after="0" w:line="240" w:lineRule="auto"/>
        <w:rPr>
          <w:rFonts w:ascii="Verdana" w:hAnsi="Verdana"/>
          <w:sz w:val="16"/>
          <w:szCs w:val="16"/>
        </w:rPr>
      </w:pPr>
      <w:r w:rsidRPr="005C50FD">
        <w:rPr>
          <w:rFonts w:ascii="Verdana" w:hAnsi="Verdana"/>
          <w:sz w:val="16"/>
          <w:szCs w:val="16"/>
        </w:rPr>
        <w:tab/>
      </w:r>
      <w:r w:rsidR="007F39A8" w:rsidRPr="005C50FD">
        <w:rPr>
          <w:rFonts w:ascii="Verdana" w:hAnsi="Verdana"/>
          <w:sz w:val="16"/>
          <w:szCs w:val="16"/>
        </w:rPr>
        <w:t>Winsight Grocery Business, October 2018</w:t>
      </w:r>
      <w:r w:rsidR="00197C34" w:rsidRPr="005C50FD">
        <w:rPr>
          <w:rFonts w:ascii="Verdana" w:hAnsi="Verdana"/>
          <w:sz w:val="16"/>
          <w:szCs w:val="16"/>
        </w:rPr>
        <w:t xml:space="preserve"> </w:t>
      </w:r>
      <w:r w:rsidR="007F39A8" w:rsidRPr="005C50FD">
        <w:rPr>
          <w:rFonts w:ascii="Verdana" w:hAnsi="Verdana"/>
          <w:sz w:val="16"/>
          <w:szCs w:val="16"/>
        </w:rPr>
        <w:tab/>
      </w:r>
      <w:r w:rsidR="007F39A8" w:rsidRPr="005C50FD">
        <w:rPr>
          <w:rFonts w:ascii="Verdana" w:hAnsi="Verdana"/>
          <w:sz w:val="16"/>
          <w:szCs w:val="16"/>
        </w:rPr>
        <w:tab/>
      </w:r>
      <w:r w:rsidR="007F39A8" w:rsidRPr="005C50FD">
        <w:rPr>
          <w:rFonts w:ascii="Verdana" w:hAnsi="Verdana"/>
          <w:sz w:val="16"/>
          <w:szCs w:val="16"/>
        </w:rPr>
        <w:tab/>
      </w:r>
      <w:r w:rsidR="00197C34" w:rsidRPr="005C50FD">
        <w:rPr>
          <w:rFonts w:ascii="Verdana" w:hAnsi="Verdana"/>
          <w:sz w:val="16"/>
          <w:szCs w:val="16"/>
        </w:rPr>
        <w:t>*for 4 weeks ending date</w:t>
      </w:r>
    </w:p>
    <w:p w14:paraId="777770F7" w14:textId="77777777" w:rsidR="00F94CE8" w:rsidRPr="005C50FD" w:rsidRDefault="00F94CE8" w:rsidP="00F94CE8">
      <w:pPr>
        <w:pStyle w:val="NoSpacing"/>
        <w:contextualSpacing/>
        <w:rPr>
          <w:sz w:val="20"/>
          <w:szCs w:val="20"/>
        </w:rPr>
      </w:pPr>
    </w:p>
    <w:p w14:paraId="3C35B056" w14:textId="77777777" w:rsidR="00F94CE8" w:rsidRPr="005C50FD" w:rsidRDefault="00F94CE8" w:rsidP="00F94CE8">
      <w:pPr>
        <w:pStyle w:val="NoSpacing"/>
        <w:contextualSpacing/>
        <w:rPr>
          <w:sz w:val="20"/>
          <w:szCs w:val="20"/>
        </w:rPr>
      </w:pPr>
    </w:p>
    <w:p w14:paraId="7EF64BA4" w14:textId="4FDE8C84" w:rsidR="00F94CE8" w:rsidRPr="005C50FD" w:rsidRDefault="00F94CE8" w:rsidP="00F94CE8">
      <w:pPr>
        <w:spacing w:after="0" w:line="240" w:lineRule="auto"/>
        <w:rPr>
          <w:rFonts w:ascii="Verdana" w:hAnsi="Verdana"/>
          <w:sz w:val="16"/>
          <w:szCs w:val="16"/>
        </w:rPr>
      </w:pPr>
      <w:r w:rsidRPr="005C50FD">
        <w:rPr>
          <w:rFonts w:ascii="Verdana" w:hAnsi="Verdana"/>
          <w:i/>
          <w:sz w:val="16"/>
        </w:rPr>
        <w:t>Sources:</w:t>
      </w:r>
      <w:r w:rsidRPr="005C50FD">
        <w:rPr>
          <w:rFonts w:ascii="Verdana" w:hAnsi="Verdana"/>
          <w:sz w:val="16"/>
        </w:rPr>
        <w:t xml:space="preserve"> </w:t>
      </w:r>
      <w:r w:rsidR="007F39A8" w:rsidRPr="005C50FD">
        <w:rPr>
          <w:sz w:val="16"/>
          <w:szCs w:val="16"/>
        </w:rPr>
        <w:t xml:space="preserve">US Bureau of Economic Analysis </w:t>
      </w:r>
      <w:r w:rsidRPr="005C50FD">
        <w:rPr>
          <w:rFonts w:ascii="Verdana" w:hAnsi="Verdana"/>
          <w:sz w:val="16"/>
          <w:szCs w:val="16"/>
        </w:rPr>
        <w:t xml:space="preserve">Website, </w:t>
      </w:r>
      <w:r w:rsidR="00A00453" w:rsidRPr="005C50FD">
        <w:rPr>
          <w:rFonts w:ascii="Verdana" w:hAnsi="Verdana"/>
          <w:sz w:val="16"/>
          <w:szCs w:val="16"/>
        </w:rPr>
        <w:t>1</w:t>
      </w:r>
      <w:r w:rsidR="00A71026" w:rsidRPr="005C50FD">
        <w:rPr>
          <w:rFonts w:ascii="Verdana" w:hAnsi="Verdana"/>
          <w:sz w:val="16"/>
          <w:szCs w:val="16"/>
        </w:rPr>
        <w:t>1</w:t>
      </w:r>
      <w:r w:rsidR="00306D88" w:rsidRPr="005C50FD">
        <w:rPr>
          <w:rFonts w:ascii="Verdana" w:hAnsi="Verdana"/>
          <w:sz w:val="16"/>
          <w:szCs w:val="16"/>
        </w:rPr>
        <w:t>/18</w:t>
      </w:r>
      <w:r w:rsidRPr="005C50FD">
        <w:rPr>
          <w:rFonts w:ascii="Verdana" w:hAnsi="Verdana"/>
          <w:sz w:val="16"/>
          <w:szCs w:val="16"/>
        </w:rPr>
        <w:t xml:space="preserve">; </w:t>
      </w:r>
      <w:r w:rsidR="007F39A8" w:rsidRPr="005C50FD">
        <w:rPr>
          <w:sz w:val="16"/>
          <w:szCs w:val="16"/>
        </w:rPr>
        <w:t xml:space="preserve">Wholesale Florists and Floral Supplier Association </w:t>
      </w:r>
      <w:r w:rsidRPr="005C50FD">
        <w:rPr>
          <w:rFonts w:ascii="Verdana" w:hAnsi="Verdana"/>
          <w:sz w:val="16"/>
          <w:szCs w:val="16"/>
        </w:rPr>
        <w:t xml:space="preserve">Website, </w:t>
      </w:r>
      <w:r w:rsidR="00A00453" w:rsidRPr="005C50FD">
        <w:rPr>
          <w:rFonts w:ascii="Verdana" w:hAnsi="Verdana"/>
          <w:sz w:val="16"/>
          <w:szCs w:val="16"/>
        </w:rPr>
        <w:t>1</w:t>
      </w:r>
      <w:r w:rsidR="00A71026" w:rsidRPr="005C50FD">
        <w:rPr>
          <w:rFonts w:ascii="Verdana" w:hAnsi="Verdana"/>
          <w:sz w:val="16"/>
          <w:szCs w:val="16"/>
        </w:rPr>
        <w:t>1</w:t>
      </w:r>
      <w:r w:rsidR="00306D88" w:rsidRPr="005C50FD">
        <w:rPr>
          <w:rFonts w:ascii="Verdana" w:hAnsi="Verdana"/>
          <w:sz w:val="16"/>
          <w:szCs w:val="16"/>
        </w:rPr>
        <w:t>/18</w:t>
      </w:r>
      <w:r w:rsidRPr="005C50FD">
        <w:rPr>
          <w:rFonts w:ascii="Verdana" w:hAnsi="Verdana"/>
          <w:sz w:val="16"/>
          <w:szCs w:val="16"/>
        </w:rPr>
        <w:t xml:space="preserve">; </w:t>
      </w:r>
      <w:r w:rsidR="007F39A8" w:rsidRPr="005C50FD">
        <w:rPr>
          <w:sz w:val="16"/>
          <w:szCs w:val="16"/>
        </w:rPr>
        <w:t xml:space="preserve">Winsight Grocery Business </w:t>
      </w:r>
      <w:r w:rsidRPr="005C50FD">
        <w:rPr>
          <w:rFonts w:ascii="Verdana" w:hAnsi="Verdana"/>
          <w:sz w:val="16"/>
          <w:szCs w:val="16"/>
        </w:rPr>
        <w:t>Website</w:t>
      </w:r>
      <w:r w:rsidR="00A00453" w:rsidRPr="005C50FD">
        <w:rPr>
          <w:rFonts w:ascii="Verdana" w:hAnsi="Verdana"/>
          <w:sz w:val="16"/>
          <w:szCs w:val="16"/>
        </w:rPr>
        <w:t>, 1</w:t>
      </w:r>
      <w:r w:rsidR="00A71026" w:rsidRPr="005C50FD">
        <w:rPr>
          <w:rFonts w:ascii="Verdana" w:hAnsi="Verdana"/>
          <w:sz w:val="16"/>
          <w:szCs w:val="16"/>
        </w:rPr>
        <w:t>1</w:t>
      </w:r>
      <w:r w:rsidR="00306D88" w:rsidRPr="005C50FD">
        <w:rPr>
          <w:rFonts w:ascii="Verdana" w:hAnsi="Verdana"/>
          <w:sz w:val="16"/>
          <w:szCs w:val="16"/>
        </w:rPr>
        <w:t>/18</w:t>
      </w:r>
      <w:r w:rsidR="007F39A8" w:rsidRPr="005C50FD">
        <w:rPr>
          <w:rFonts w:ascii="Verdana" w:hAnsi="Verdana"/>
          <w:sz w:val="16"/>
          <w:szCs w:val="16"/>
        </w:rPr>
        <w:t xml:space="preserve">; </w:t>
      </w:r>
      <w:r w:rsidR="007F39A8" w:rsidRPr="005C50FD">
        <w:rPr>
          <w:sz w:val="16"/>
          <w:szCs w:val="16"/>
        </w:rPr>
        <w:t>Society of American Florists Website</w:t>
      </w:r>
      <w:r w:rsidR="007F39A8" w:rsidRPr="005C50FD">
        <w:rPr>
          <w:rFonts w:ascii="Verdana" w:hAnsi="Verdana"/>
          <w:sz w:val="16"/>
          <w:szCs w:val="16"/>
        </w:rPr>
        <w:t>, 11/18;</w:t>
      </w:r>
      <w:r w:rsidR="007F39A8" w:rsidRPr="005C50FD">
        <w:rPr>
          <w:sz w:val="16"/>
          <w:szCs w:val="16"/>
        </w:rPr>
        <w:t xml:space="preserve"> </w:t>
      </w:r>
      <w:r w:rsidR="007F39A8" w:rsidRPr="005C50FD">
        <w:rPr>
          <w:i/>
          <w:sz w:val="16"/>
          <w:szCs w:val="16"/>
        </w:rPr>
        <w:t>The Produce News</w:t>
      </w:r>
      <w:r w:rsidR="007F39A8" w:rsidRPr="005C50FD">
        <w:rPr>
          <w:sz w:val="16"/>
          <w:szCs w:val="16"/>
        </w:rPr>
        <w:t xml:space="preserve"> Website</w:t>
      </w:r>
      <w:r w:rsidR="007F39A8" w:rsidRPr="005C50FD">
        <w:rPr>
          <w:rFonts w:ascii="Verdana" w:hAnsi="Verdana"/>
          <w:sz w:val="16"/>
          <w:szCs w:val="16"/>
        </w:rPr>
        <w:t>, 11/18;</w:t>
      </w:r>
      <w:r w:rsidR="007F39A8" w:rsidRPr="005C50FD">
        <w:rPr>
          <w:sz w:val="16"/>
          <w:szCs w:val="16"/>
        </w:rPr>
        <w:t xml:space="preserve"> Flower Trends Forecast Website</w:t>
      </w:r>
      <w:r w:rsidR="007F39A8" w:rsidRPr="005C50FD">
        <w:rPr>
          <w:rFonts w:ascii="Verdana" w:hAnsi="Verdana"/>
          <w:sz w:val="16"/>
          <w:szCs w:val="16"/>
        </w:rPr>
        <w:t>, 11/18;</w:t>
      </w:r>
      <w:r w:rsidR="007F39A8" w:rsidRPr="005C50FD">
        <w:rPr>
          <w:sz w:val="16"/>
          <w:szCs w:val="16"/>
        </w:rPr>
        <w:t xml:space="preserve"> FTD Website</w:t>
      </w:r>
      <w:r w:rsidR="007F39A8" w:rsidRPr="005C50FD">
        <w:rPr>
          <w:rFonts w:ascii="Verdana" w:hAnsi="Verdana"/>
          <w:sz w:val="16"/>
          <w:szCs w:val="16"/>
        </w:rPr>
        <w:t>, 11/18;</w:t>
      </w:r>
      <w:r w:rsidR="007F39A8" w:rsidRPr="005C50FD">
        <w:rPr>
          <w:sz w:val="16"/>
          <w:szCs w:val="16"/>
        </w:rPr>
        <w:t xml:space="preserve"> Debra Prinzing Website</w:t>
      </w:r>
      <w:r w:rsidR="007F39A8" w:rsidRPr="005C50FD">
        <w:rPr>
          <w:rFonts w:ascii="Verdana" w:hAnsi="Verdana"/>
          <w:sz w:val="16"/>
          <w:szCs w:val="16"/>
        </w:rPr>
        <w:t>, 11/18.</w:t>
      </w:r>
    </w:p>
    <w:p w14:paraId="27C190E7" w14:textId="77777777" w:rsidR="007F39A8" w:rsidRPr="005C50FD" w:rsidRDefault="007F39A8" w:rsidP="00F94CE8">
      <w:pPr>
        <w:spacing w:after="0" w:line="240" w:lineRule="auto"/>
        <w:rPr>
          <w:rFonts w:ascii="Verdana" w:hAnsi="Verdana"/>
          <w:sz w:val="16"/>
          <w:szCs w:val="16"/>
        </w:rPr>
      </w:pPr>
    </w:p>
    <w:p w14:paraId="49C0D793" w14:textId="3533795E" w:rsidR="00F94CE8" w:rsidRPr="005C50FD" w:rsidRDefault="00F94CE8" w:rsidP="00F94CE8">
      <w:pPr>
        <w:spacing w:after="0" w:line="240" w:lineRule="auto"/>
        <w:rPr>
          <w:rFonts w:ascii="Verdana" w:hAnsi="Verdana"/>
          <w:strike/>
          <w:sz w:val="16"/>
        </w:rPr>
      </w:pPr>
      <w:r w:rsidRPr="005C50FD">
        <w:rPr>
          <w:rFonts w:ascii="Verdana" w:hAnsi="Verdana"/>
          <w:i/>
          <w:sz w:val="16"/>
        </w:rPr>
        <w:t>Updated</w:t>
      </w:r>
      <w:r w:rsidR="003F0FE1" w:rsidRPr="005C50FD">
        <w:rPr>
          <w:rFonts w:ascii="Verdana" w:hAnsi="Verdana"/>
          <w:sz w:val="16"/>
        </w:rPr>
        <w:t xml:space="preserve">: </w:t>
      </w:r>
      <w:r w:rsidR="00A71026" w:rsidRPr="005C50FD">
        <w:rPr>
          <w:rFonts w:ascii="Verdana" w:hAnsi="Verdana"/>
          <w:sz w:val="16"/>
        </w:rPr>
        <w:t>Novem</w:t>
      </w:r>
      <w:r w:rsidR="00AE71B7" w:rsidRPr="005C50FD">
        <w:rPr>
          <w:rFonts w:ascii="Verdana" w:hAnsi="Verdana"/>
          <w:sz w:val="16"/>
        </w:rPr>
        <w:t xml:space="preserve">ber </w:t>
      </w:r>
      <w:r w:rsidRPr="005C50FD">
        <w:rPr>
          <w:rFonts w:ascii="Verdana" w:hAnsi="Verdana"/>
          <w:sz w:val="16"/>
        </w:rPr>
        <w:t>201</w:t>
      </w:r>
      <w:r w:rsidR="00306D88" w:rsidRPr="005C50FD">
        <w:rPr>
          <w:rFonts w:ascii="Verdana" w:hAnsi="Verdana"/>
          <w:sz w:val="16"/>
        </w:rPr>
        <w:t>8</w:t>
      </w:r>
    </w:p>
    <w:p w14:paraId="061B0C21" w14:textId="77777777" w:rsidR="00F94CE8" w:rsidRPr="005C50FD" w:rsidRDefault="00F94CE8" w:rsidP="00F94CE8">
      <w:pPr>
        <w:pStyle w:val="NoSpacing"/>
        <w:contextualSpacing/>
        <w:rPr>
          <w:sz w:val="20"/>
          <w:szCs w:val="20"/>
        </w:rPr>
      </w:pPr>
    </w:p>
    <w:p w14:paraId="6CB52314" w14:textId="77777777" w:rsidR="007F39A8" w:rsidRPr="005C50FD" w:rsidRDefault="00F94CE8" w:rsidP="007F39A8">
      <w:pPr>
        <w:pStyle w:val="NoSpacing"/>
        <w:contextualSpacing/>
        <w:rPr>
          <w:sz w:val="16"/>
          <w:szCs w:val="16"/>
        </w:rPr>
      </w:pPr>
      <w:r w:rsidRPr="005C50FD">
        <w:rPr>
          <w:rFonts w:ascii="Verdana" w:hAnsi="Verdana"/>
          <w:sz w:val="16"/>
          <w:szCs w:val="16"/>
        </w:rPr>
        <w:t>©</w:t>
      </w:r>
      <w:r w:rsidR="00306D88" w:rsidRPr="005C50FD">
        <w:rPr>
          <w:sz w:val="16"/>
          <w:szCs w:val="16"/>
        </w:rPr>
        <w:t xml:space="preserve"> 2018</w:t>
      </w:r>
      <w:r w:rsidRPr="005C50FD">
        <w:rPr>
          <w:sz w:val="16"/>
          <w:szCs w:val="16"/>
        </w:rPr>
        <w:t xml:space="preserve"> Media Group Online, Inc. All rights reserved.</w:t>
      </w:r>
    </w:p>
    <w:p w14:paraId="7FBE6372" w14:textId="77777777" w:rsidR="007F39A8" w:rsidRPr="005C50FD" w:rsidRDefault="007F39A8" w:rsidP="007F39A8">
      <w:pPr>
        <w:pStyle w:val="NoSpacing"/>
        <w:contextualSpacing/>
        <w:rPr>
          <w:b/>
          <w:color w:val="0070C0"/>
          <w:sz w:val="20"/>
          <w:szCs w:val="20"/>
        </w:rPr>
      </w:pPr>
    </w:p>
    <w:p w14:paraId="40984328" w14:textId="7C0FA874" w:rsidR="00E24860" w:rsidRPr="005C50FD" w:rsidRDefault="00E24860" w:rsidP="007F39A8">
      <w:pPr>
        <w:pStyle w:val="NoSpacing"/>
        <w:contextualSpacing/>
        <w:jc w:val="center"/>
        <w:rPr>
          <w:sz w:val="16"/>
          <w:szCs w:val="16"/>
        </w:rPr>
      </w:pPr>
      <w:r w:rsidRPr="005C50FD">
        <w:rPr>
          <w:b/>
          <w:color w:val="0070C0"/>
          <w:sz w:val="20"/>
          <w:szCs w:val="20"/>
        </w:rPr>
        <w:lastRenderedPageBreak/>
        <w:t>For Your Local and Station Information</w:t>
      </w:r>
    </w:p>
    <w:p w14:paraId="0220D501" w14:textId="77777777" w:rsidR="00E24860" w:rsidRPr="005C50FD" w:rsidRDefault="00E24860" w:rsidP="00260DE9">
      <w:pPr>
        <w:pStyle w:val="NoSpacing"/>
        <w:rPr>
          <w:sz w:val="20"/>
          <w:szCs w:val="20"/>
        </w:rPr>
      </w:pPr>
    </w:p>
    <w:p w14:paraId="4D361A5A" w14:textId="77777777" w:rsidR="005C50FD" w:rsidRPr="005C50FD" w:rsidRDefault="005C50FD">
      <w:pPr>
        <w:pStyle w:val="NoSpacing"/>
        <w:rPr>
          <w:sz w:val="20"/>
          <w:szCs w:val="20"/>
        </w:rPr>
      </w:pPr>
    </w:p>
    <w:sectPr w:rsidR="005C50FD" w:rsidRPr="005C50FD" w:rsidSect="00260DE9">
      <w:headerReference w:type="default" r:id="rId8"/>
      <w:footerReference w:type="default" r:id="rId9"/>
      <w:pgSz w:w="12240" w:h="15840" w:code="1"/>
      <w:pgMar w:top="2160" w:right="1440" w:bottom="1440" w:left="1440" w:header="144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829B4" w14:textId="77777777" w:rsidR="00CF5043" w:rsidRDefault="00CF5043" w:rsidP="00260DE9">
      <w:pPr>
        <w:spacing w:after="0" w:line="240" w:lineRule="auto"/>
      </w:pPr>
      <w:r>
        <w:separator/>
      </w:r>
    </w:p>
  </w:endnote>
  <w:endnote w:type="continuationSeparator" w:id="0">
    <w:p w14:paraId="00981B8C" w14:textId="77777777" w:rsidR="00CF5043" w:rsidRDefault="00CF5043" w:rsidP="0026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B63B7" w14:textId="77777777" w:rsidR="00272418" w:rsidRDefault="00272418" w:rsidP="003E2E9B">
    <w:pPr>
      <w:pStyle w:val="Footer"/>
      <w:jc w:val="center"/>
      <w:rPr>
        <w:rFonts w:ascii="Arial" w:hAnsi="Arial" w:cs="Arial"/>
        <w:sz w:val="16"/>
        <w:szCs w:val="16"/>
      </w:rPr>
    </w:pPr>
    <w:r>
      <w:rPr>
        <w:rFonts w:ascii="Arial" w:hAnsi="Arial" w:cs="Arial"/>
        <w:noProof/>
        <w:sz w:val="16"/>
        <w:szCs w:val="16"/>
      </w:rPr>
      <w:drawing>
        <wp:inline distT="0" distB="0" distL="0" distR="0" wp14:anchorId="4724D9F8" wp14:editId="6BCACCF1">
          <wp:extent cx="300990" cy="300990"/>
          <wp:effectExtent l="19050" t="0" r="3810" b="0"/>
          <wp:docPr id="4" name="Picture 3" descr="MGOlogoBlac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OlogoBlackC.png"/>
                  <pic:cNvPicPr/>
                </pic:nvPicPr>
                <pic:blipFill>
                  <a:blip r:embed="rId1"/>
                  <a:stretch>
                    <a:fillRect/>
                  </a:stretch>
                </pic:blipFill>
                <pic:spPr>
                  <a:xfrm>
                    <a:off x="0" y="0"/>
                    <a:ext cx="300942" cy="300942"/>
                  </a:xfrm>
                  <a:prstGeom prst="rect">
                    <a:avLst/>
                  </a:prstGeom>
                </pic:spPr>
              </pic:pic>
            </a:graphicData>
          </a:graphic>
        </wp:inline>
      </w:drawing>
    </w:r>
  </w:p>
  <w:p w14:paraId="688D5080" w14:textId="77777777" w:rsidR="00272418" w:rsidRPr="0097480E" w:rsidRDefault="00272418" w:rsidP="00EF6AB9">
    <w:pPr>
      <w:pStyle w:val="Footer"/>
      <w:jc w:val="center"/>
      <w:rPr>
        <w:rFonts w:ascii="Arial" w:hAnsi="Arial" w:cs="Arial"/>
        <w:sz w:val="16"/>
        <w:szCs w:val="16"/>
      </w:rPr>
    </w:pPr>
    <w:r w:rsidRPr="0097480E">
      <w:rPr>
        <w:rFonts w:ascii="Arial" w:hAnsi="Arial" w:cs="Arial"/>
        <w:sz w:val="16"/>
        <w:szCs w:val="16"/>
        <w:shd w:val="clear" w:color="auto" w:fill="FFFFFF"/>
      </w:rPr>
      <w:t>Media Group Online, Inc.</w:t>
    </w:r>
    <w:r w:rsidRPr="0097480E">
      <w:rPr>
        <w:rFonts w:ascii="Arial" w:hAnsi="Arial" w:cs="Arial"/>
        <w:sz w:val="16"/>
        <w:szCs w:val="16"/>
      </w:rPr>
      <w:t xml:space="preserve">• </w:t>
    </w:r>
    <w:r w:rsidRPr="0097480E">
      <w:rPr>
        <w:rFonts w:ascii="Arial" w:hAnsi="Arial" w:cs="Arial"/>
        <w:sz w:val="16"/>
        <w:szCs w:val="16"/>
        <w:shd w:val="clear" w:color="auto" w:fill="FFFFFF"/>
      </w:rPr>
      <w:t>103 Sterling Mine Rd.</w:t>
    </w:r>
    <w:r w:rsidRPr="0097480E">
      <w:rPr>
        <w:rFonts w:ascii="Arial" w:hAnsi="Arial" w:cs="Arial"/>
        <w:sz w:val="16"/>
        <w:szCs w:val="16"/>
      </w:rPr>
      <w:t xml:space="preserve">• </w:t>
    </w:r>
    <w:r w:rsidRPr="0097480E">
      <w:rPr>
        <w:rFonts w:ascii="Arial" w:hAnsi="Arial" w:cs="Arial"/>
        <w:sz w:val="16"/>
        <w:szCs w:val="16"/>
        <w:shd w:val="clear" w:color="auto" w:fill="FFFFFF"/>
      </w:rPr>
      <w:t xml:space="preserve">Sloatsburg, NY 10974 </w:t>
    </w:r>
    <w:r w:rsidRPr="0097480E">
      <w:rPr>
        <w:rFonts w:ascii="Arial" w:hAnsi="Arial" w:cs="Arial"/>
        <w:sz w:val="16"/>
        <w:szCs w:val="16"/>
      </w:rPr>
      <w:t>• Tel 866-921-1026 • Fax 845-712-5168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B658" w14:textId="77777777" w:rsidR="00CF5043" w:rsidRDefault="00CF5043" w:rsidP="00260DE9">
      <w:pPr>
        <w:spacing w:after="0" w:line="240" w:lineRule="auto"/>
      </w:pPr>
      <w:r>
        <w:separator/>
      </w:r>
    </w:p>
  </w:footnote>
  <w:footnote w:type="continuationSeparator" w:id="0">
    <w:p w14:paraId="230FF9A7" w14:textId="77777777" w:rsidR="00CF5043" w:rsidRDefault="00CF5043" w:rsidP="0026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3DC73" w14:textId="77777777" w:rsidR="00272418" w:rsidRDefault="00272418">
    <w:pPr>
      <w:pStyle w:val="Header"/>
    </w:pPr>
    <w:r>
      <w:rPr>
        <w:noProof/>
      </w:rPr>
      <w:drawing>
        <wp:anchor distT="0" distB="0" distL="114300" distR="114300" simplePos="0" relativeHeight="251658240" behindDoc="1" locked="0" layoutInCell="1" allowOverlap="1" wp14:anchorId="67BDB21C" wp14:editId="7366BB1A">
          <wp:simplePos x="0" y="0"/>
          <wp:positionH relativeFrom="column">
            <wp:posOffset>-638175</wp:posOffset>
          </wp:positionH>
          <wp:positionV relativeFrom="paragraph">
            <wp:posOffset>-771525</wp:posOffset>
          </wp:positionV>
          <wp:extent cx="5943600" cy="1192530"/>
          <wp:effectExtent l="0" t="0" r="0" b="0"/>
          <wp:wrapTight wrapText="bothSides">
            <wp:wrapPolygon edited="0">
              <wp:start x="1454" y="0"/>
              <wp:lineTo x="1038" y="690"/>
              <wp:lineTo x="69" y="4486"/>
              <wp:lineTo x="0" y="7936"/>
              <wp:lineTo x="0" y="13802"/>
              <wp:lineTo x="138" y="17252"/>
              <wp:lineTo x="1177" y="21393"/>
              <wp:lineTo x="1385" y="21393"/>
              <wp:lineTo x="2838" y="21393"/>
              <wp:lineTo x="8931" y="16907"/>
              <wp:lineTo x="21531" y="15872"/>
              <wp:lineTo x="21531" y="6901"/>
              <wp:lineTo x="19938" y="4831"/>
              <wp:lineTo x="2838" y="0"/>
              <wp:lineTo x="14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OProfilerHeaderSmal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925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553DF"/>
    <w:multiLevelType w:val="hybridMultilevel"/>
    <w:tmpl w:val="EAF6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601EA"/>
    <w:multiLevelType w:val="hybridMultilevel"/>
    <w:tmpl w:val="B860D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C6598D"/>
    <w:multiLevelType w:val="hybridMultilevel"/>
    <w:tmpl w:val="36B64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176B71"/>
    <w:multiLevelType w:val="hybridMultilevel"/>
    <w:tmpl w:val="05340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B962D8"/>
    <w:multiLevelType w:val="hybridMultilevel"/>
    <w:tmpl w:val="46EC2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E9"/>
    <w:rsid w:val="000052A8"/>
    <w:rsid w:val="000171D4"/>
    <w:rsid w:val="000577D6"/>
    <w:rsid w:val="000830D7"/>
    <w:rsid w:val="000D7C07"/>
    <w:rsid w:val="00197C34"/>
    <w:rsid w:val="001B3D40"/>
    <w:rsid w:val="001B64B0"/>
    <w:rsid w:val="002252FC"/>
    <w:rsid w:val="0024415F"/>
    <w:rsid w:val="00260945"/>
    <w:rsid w:val="00260DE9"/>
    <w:rsid w:val="00272418"/>
    <w:rsid w:val="002A6286"/>
    <w:rsid w:val="00306D88"/>
    <w:rsid w:val="003E2E9B"/>
    <w:rsid w:val="003F0FE1"/>
    <w:rsid w:val="00422A36"/>
    <w:rsid w:val="0045212B"/>
    <w:rsid w:val="00462654"/>
    <w:rsid w:val="00494CA5"/>
    <w:rsid w:val="004E0C81"/>
    <w:rsid w:val="0055644F"/>
    <w:rsid w:val="00571D6A"/>
    <w:rsid w:val="00596832"/>
    <w:rsid w:val="005A0A81"/>
    <w:rsid w:val="005C50FD"/>
    <w:rsid w:val="00604026"/>
    <w:rsid w:val="0062736B"/>
    <w:rsid w:val="00635FF3"/>
    <w:rsid w:val="00637CB9"/>
    <w:rsid w:val="00663465"/>
    <w:rsid w:val="0066490C"/>
    <w:rsid w:val="006855F2"/>
    <w:rsid w:val="006F776E"/>
    <w:rsid w:val="007257B5"/>
    <w:rsid w:val="00765C84"/>
    <w:rsid w:val="00793BD0"/>
    <w:rsid w:val="007B6E29"/>
    <w:rsid w:val="007F39A8"/>
    <w:rsid w:val="008140A7"/>
    <w:rsid w:val="0088505B"/>
    <w:rsid w:val="0089324F"/>
    <w:rsid w:val="00911197"/>
    <w:rsid w:val="00931A86"/>
    <w:rsid w:val="009419F0"/>
    <w:rsid w:val="0097480E"/>
    <w:rsid w:val="009A3EBE"/>
    <w:rsid w:val="009A6479"/>
    <w:rsid w:val="00A00453"/>
    <w:rsid w:val="00A031C1"/>
    <w:rsid w:val="00A55AAE"/>
    <w:rsid w:val="00A71026"/>
    <w:rsid w:val="00AE71B7"/>
    <w:rsid w:val="00B03246"/>
    <w:rsid w:val="00B33B46"/>
    <w:rsid w:val="00BC0DB8"/>
    <w:rsid w:val="00CF5043"/>
    <w:rsid w:val="00DC4F7C"/>
    <w:rsid w:val="00E24860"/>
    <w:rsid w:val="00E45F8D"/>
    <w:rsid w:val="00EA27DE"/>
    <w:rsid w:val="00ED42A4"/>
    <w:rsid w:val="00EF6801"/>
    <w:rsid w:val="00EF6AB9"/>
    <w:rsid w:val="00F2704A"/>
    <w:rsid w:val="00F65767"/>
    <w:rsid w:val="00F7283F"/>
    <w:rsid w:val="00F94CE8"/>
    <w:rsid w:val="00FA2069"/>
    <w:rsid w:val="00FA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0252B"/>
  <w15:docId w15:val="{00033884-83A0-4105-8CD5-C8A13830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5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DE9"/>
  </w:style>
  <w:style w:type="paragraph" w:styleId="Footer">
    <w:name w:val="footer"/>
    <w:basedOn w:val="Normal"/>
    <w:link w:val="FooterChar"/>
    <w:uiPriority w:val="99"/>
    <w:unhideWhenUsed/>
    <w:rsid w:val="0026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E9"/>
  </w:style>
  <w:style w:type="paragraph" w:styleId="NoSpacing">
    <w:name w:val="No Spacing"/>
    <w:uiPriority w:val="1"/>
    <w:qFormat/>
    <w:rsid w:val="00260DE9"/>
    <w:pPr>
      <w:spacing w:after="0" w:line="240" w:lineRule="auto"/>
    </w:pPr>
  </w:style>
  <w:style w:type="paragraph" w:styleId="BalloonText">
    <w:name w:val="Balloon Text"/>
    <w:basedOn w:val="Normal"/>
    <w:link w:val="BalloonTextChar"/>
    <w:uiPriority w:val="99"/>
    <w:semiHidden/>
    <w:unhideWhenUsed/>
    <w:rsid w:val="003E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9B"/>
    <w:rPr>
      <w:rFonts w:ascii="Tahoma" w:hAnsi="Tahoma" w:cs="Tahoma"/>
      <w:sz w:val="16"/>
      <w:szCs w:val="16"/>
    </w:rPr>
  </w:style>
  <w:style w:type="paragraph" w:styleId="ListParagraph">
    <w:name w:val="List Paragraph"/>
    <w:basedOn w:val="Normal"/>
    <w:uiPriority w:val="34"/>
    <w:qFormat/>
    <w:rsid w:val="00FA2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F3D33-7E51-404E-9ACD-A8D6741D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Whelan</dc:creator>
  <cp:lastModifiedBy>Bob Sillick</cp:lastModifiedBy>
  <cp:revision>2</cp:revision>
  <dcterms:created xsi:type="dcterms:W3CDTF">2018-11-13T14:03:00Z</dcterms:created>
  <dcterms:modified xsi:type="dcterms:W3CDTF">2018-11-13T14:03:00Z</dcterms:modified>
</cp:coreProperties>
</file>