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9F06" w14:textId="1DC8AA90" w:rsidR="00F94CE8" w:rsidRPr="006E1187" w:rsidRDefault="00170B87" w:rsidP="00F94CE8">
      <w:pPr>
        <w:pStyle w:val="NoSpacing"/>
        <w:rPr>
          <w:sz w:val="20"/>
          <w:szCs w:val="20"/>
        </w:rPr>
      </w:pPr>
      <w:r w:rsidRPr="006E1187">
        <w:rPr>
          <w:b/>
          <w:color w:val="FF0000"/>
          <w:sz w:val="20"/>
          <w:szCs w:val="20"/>
        </w:rPr>
        <w:t xml:space="preserve">Ice Cream </w:t>
      </w:r>
      <w:r w:rsidR="007B1A70" w:rsidRPr="006E1187">
        <w:rPr>
          <w:b/>
          <w:color w:val="FF0000"/>
          <w:sz w:val="20"/>
          <w:szCs w:val="20"/>
        </w:rPr>
        <w:t xml:space="preserve">&amp; Dairy Products </w:t>
      </w:r>
      <w:r w:rsidRPr="006E1187">
        <w:rPr>
          <w:b/>
          <w:color w:val="FF0000"/>
          <w:sz w:val="20"/>
          <w:szCs w:val="20"/>
        </w:rPr>
        <w:t>Market 2019</w:t>
      </w:r>
    </w:p>
    <w:p w14:paraId="79457408" w14:textId="77777777" w:rsidR="00260DE9" w:rsidRPr="006E1187" w:rsidRDefault="00260DE9" w:rsidP="007B1A70">
      <w:pPr>
        <w:pStyle w:val="NoSpacing"/>
        <w:contextualSpacing/>
        <w:mirrorIndents/>
        <w:rPr>
          <w:rFonts w:ascii="Verdana" w:hAnsi="Verdana"/>
          <w:sz w:val="20"/>
          <w:szCs w:val="20"/>
        </w:rPr>
      </w:pPr>
    </w:p>
    <w:p w14:paraId="3908AC94" w14:textId="77777777" w:rsidR="007B1A70" w:rsidRPr="006E1187" w:rsidRDefault="007B1A70" w:rsidP="007B1A70">
      <w:pPr>
        <w:spacing w:after="0" w:line="240" w:lineRule="auto"/>
        <w:contextualSpacing/>
        <w:mirrorIndents/>
        <w:jc w:val="center"/>
        <w:rPr>
          <w:rFonts w:ascii="Verdana" w:hAnsi="Verdana"/>
          <w:b/>
          <w:color w:val="0070C0"/>
          <w:sz w:val="20"/>
          <w:szCs w:val="20"/>
        </w:rPr>
      </w:pPr>
      <w:r w:rsidRPr="006E1187">
        <w:rPr>
          <w:rFonts w:ascii="Verdana" w:hAnsi="Verdana"/>
          <w:b/>
          <w:color w:val="0070C0"/>
          <w:sz w:val="20"/>
          <w:szCs w:val="20"/>
        </w:rPr>
        <w:t>Ice Cream Sales Cool from 2017</w:t>
      </w:r>
    </w:p>
    <w:p w14:paraId="1CD17871" w14:textId="77777777" w:rsidR="007B1A70" w:rsidRPr="006E1187" w:rsidRDefault="007B1A70" w:rsidP="007B1A70">
      <w:pPr>
        <w:spacing w:after="0" w:line="240" w:lineRule="auto"/>
        <w:contextualSpacing/>
        <w:mirrorIndents/>
        <w:rPr>
          <w:rFonts w:ascii="Verdana" w:hAnsi="Verdana"/>
          <w:sz w:val="20"/>
          <w:szCs w:val="20"/>
        </w:rPr>
      </w:pPr>
    </w:p>
    <w:p w14:paraId="23F84C96" w14:textId="6990DD5A" w:rsidR="007B1A70" w:rsidRPr="006E1187" w:rsidRDefault="00905C76" w:rsidP="00905C76">
      <w:pPr>
        <w:pStyle w:val="ListParagraph"/>
        <w:numPr>
          <w:ilvl w:val="0"/>
          <w:numId w:val="1"/>
        </w:numPr>
        <w:spacing w:after="0" w:line="240" w:lineRule="auto"/>
        <w:mirrorIndents/>
        <w:rPr>
          <w:rFonts w:ascii="Verdana" w:hAnsi="Verdana"/>
          <w:sz w:val="20"/>
          <w:szCs w:val="20"/>
        </w:rPr>
      </w:pPr>
      <w:r w:rsidRPr="006E1187">
        <w:rPr>
          <w:rFonts w:ascii="Verdana" w:hAnsi="Verdana"/>
          <w:sz w:val="20"/>
          <w:szCs w:val="20"/>
        </w:rPr>
        <w:t xml:space="preserve">After </w:t>
      </w:r>
      <w:r w:rsidR="00E3798E">
        <w:rPr>
          <w:rFonts w:ascii="Verdana" w:hAnsi="Verdana"/>
          <w:sz w:val="20"/>
          <w:szCs w:val="20"/>
        </w:rPr>
        <w:t>ice cream sales had a</w:t>
      </w:r>
      <w:r w:rsidRPr="006E1187">
        <w:rPr>
          <w:rFonts w:ascii="Verdana" w:hAnsi="Verdana"/>
          <w:sz w:val="20"/>
          <w:szCs w:val="20"/>
        </w:rPr>
        <w:t xml:space="preserve"> rather robust gain in dollar sales of 3.9%, or a total of $6.1 billion, for the 52 weeks ending August 6, 2017, the next 52 weeks (ending August 12, 2018) increased just 1.2% to a total of $6.2 billion.</w:t>
      </w:r>
    </w:p>
    <w:p w14:paraId="72BF74DD" w14:textId="77777777" w:rsidR="007B1A70" w:rsidRPr="006E1187" w:rsidRDefault="007B1A70" w:rsidP="007B1A70">
      <w:pPr>
        <w:spacing w:after="0" w:line="240" w:lineRule="auto"/>
        <w:contextualSpacing/>
        <w:mirrorIndents/>
        <w:rPr>
          <w:rFonts w:ascii="Verdana" w:hAnsi="Verdana"/>
          <w:sz w:val="20"/>
          <w:szCs w:val="20"/>
        </w:rPr>
      </w:pPr>
    </w:p>
    <w:p w14:paraId="50E5C02C" w14:textId="1451A0DA" w:rsidR="007B1A70" w:rsidRPr="006E1187" w:rsidRDefault="00905C76" w:rsidP="00905C76">
      <w:pPr>
        <w:pStyle w:val="ListParagraph"/>
        <w:numPr>
          <w:ilvl w:val="0"/>
          <w:numId w:val="1"/>
        </w:numPr>
        <w:spacing w:after="0" w:line="240" w:lineRule="auto"/>
        <w:mirrorIndents/>
        <w:rPr>
          <w:rFonts w:ascii="Verdana" w:hAnsi="Verdana"/>
          <w:sz w:val="20"/>
          <w:szCs w:val="20"/>
        </w:rPr>
      </w:pPr>
      <w:r w:rsidRPr="006E1187">
        <w:rPr>
          <w:rFonts w:ascii="Verdana" w:hAnsi="Verdana"/>
          <w:sz w:val="20"/>
          <w:szCs w:val="20"/>
        </w:rPr>
        <w:t xml:space="preserve">Grand View Research still forecasts a 4.1% increase in CAGR (compound annual growth rate) from 2018 to 2025 and premium ice cream brands will generate much of that increase, </w:t>
      </w:r>
      <w:r w:rsidR="00E3798E">
        <w:rPr>
          <w:rFonts w:ascii="Verdana" w:hAnsi="Verdana"/>
          <w:sz w:val="20"/>
          <w:szCs w:val="20"/>
        </w:rPr>
        <w:t xml:space="preserve">however, </w:t>
      </w:r>
      <w:r w:rsidRPr="006E1187">
        <w:rPr>
          <w:rFonts w:ascii="Verdana" w:hAnsi="Verdana"/>
          <w:sz w:val="20"/>
          <w:szCs w:val="20"/>
        </w:rPr>
        <w:t>it is unlikely to offset an overall decline in the ice cream segment.</w:t>
      </w:r>
    </w:p>
    <w:p w14:paraId="394584E2" w14:textId="77777777" w:rsidR="007B1A70" w:rsidRPr="006E1187" w:rsidRDefault="007B1A70" w:rsidP="007B1A70">
      <w:pPr>
        <w:spacing w:after="0" w:line="240" w:lineRule="auto"/>
        <w:contextualSpacing/>
        <w:mirrorIndents/>
        <w:rPr>
          <w:rFonts w:ascii="Verdana" w:hAnsi="Verdana"/>
          <w:sz w:val="20"/>
          <w:szCs w:val="20"/>
        </w:rPr>
      </w:pPr>
    </w:p>
    <w:p w14:paraId="2E8D430C" w14:textId="6C92B5DE" w:rsidR="007B1A70" w:rsidRPr="006E1187" w:rsidRDefault="00905C76" w:rsidP="00905C76">
      <w:pPr>
        <w:pStyle w:val="ListParagraph"/>
        <w:numPr>
          <w:ilvl w:val="0"/>
          <w:numId w:val="1"/>
        </w:numPr>
        <w:spacing w:after="0" w:line="240" w:lineRule="auto"/>
        <w:mirrorIndents/>
        <w:rPr>
          <w:rFonts w:ascii="Verdana" w:hAnsi="Verdana"/>
          <w:sz w:val="20"/>
          <w:szCs w:val="20"/>
        </w:rPr>
      </w:pPr>
      <w:r w:rsidRPr="006E1187">
        <w:rPr>
          <w:rFonts w:ascii="Verdana" w:hAnsi="Verdana"/>
          <w:sz w:val="20"/>
          <w:szCs w:val="20"/>
        </w:rPr>
        <w:t>The frozen novelty sub-category performed even better, recovering from just a +0.6% increase in dollar sales during the same 52-week period of 2017 to a 3.5% increase for the same 52-week period of 2018. (See table in Additional Analysis section on page 4.)</w:t>
      </w:r>
    </w:p>
    <w:p w14:paraId="6C4C6EA9" w14:textId="6189F7C5" w:rsidR="007B1A70" w:rsidRPr="006E1187" w:rsidRDefault="007B1A70" w:rsidP="007B1A70">
      <w:pPr>
        <w:spacing w:after="0" w:line="240" w:lineRule="auto"/>
        <w:contextualSpacing/>
        <w:mirrorIndents/>
        <w:rPr>
          <w:rFonts w:ascii="Verdana" w:hAnsi="Verdana"/>
          <w:sz w:val="20"/>
          <w:szCs w:val="20"/>
        </w:rPr>
      </w:pPr>
    </w:p>
    <w:p w14:paraId="7D96EE6F" w14:textId="4F33FFC8" w:rsidR="00905C76" w:rsidRPr="006E1187" w:rsidRDefault="0036557A" w:rsidP="00905C76">
      <w:pPr>
        <w:pStyle w:val="Header"/>
        <w:contextualSpacing/>
        <w:jc w:val="center"/>
        <w:rPr>
          <w:rFonts w:ascii="Verdana" w:hAnsi="Verdana"/>
          <w:b/>
          <w:sz w:val="20"/>
          <w:szCs w:val="20"/>
        </w:rPr>
      </w:pPr>
      <w:r w:rsidRPr="006E1187">
        <w:rPr>
          <w:rFonts w:ascii="Verdana" w:hAnsi="Verdana"/>
          <w:b/>
          <w:sz w:val="20"/>
          <w:szCs w:val="20"/>
        </w:rPr>
        <w:t>Ice Cream Brands’ Dollars Sales*</w:t>
      </w:r>
    </w:p>
    <w:tbl>
      <w:tblPr>
        <w:tblW w:w="9540" w:type="dxa"/>
        <w:jc w:val="center"/>
        <w:tblBorders>
          <w:left w:val="single" w:sz="8" w:space="0" w:color="000000"/>
          <w:right w:val="single" w:sz="8" w:space="0" w:color="000000"/>
        </w:tblBorders>
        <w:tblLayout w:type="fixed"/>
        <w:tblLook w:val="0000" w:firstRow="0" w:lastRow="0" w:firstColumn="0" w:lastColumn="0" w:noHBand="0" w:noVBand="0"/>
      </w:tblPr>
      <w:tblGrid>
        <w:gridCol w:w="2430"/>
        <w:gridCol w:w="1170"/>
        <w:gridCol w:w="1170"/>
        <w:gridCol w:w="2430"/>
        <w:gridCol w:w="1170"/>
        <w:gridCol w:w="1170"/>
      </w:tblGrid>
      <w:tr w:rsidR="0036557A" w:rsidRPr="006E1187" w14:paraId="2C009304" w14:textId="77777777" w:rsidTr="00E3798E">
        <w:trPr>
          <w:jc w:val="center"/>
        </w:trPr>
        <w:tc>
          <w:tcPr>
            <w:tcW w:w="2430" w:type="dxa"/>
            <w:tcBorders>
              <w:top w:val="single" w:sz="12" w:space="0" w:color="000000"/>
              <w:left w:val="single" w:sz="12" w:space="0" w:color="000000"/>
              <w:bottom w:val="single" w:sz="18" w:space="0" w:color="000000"/>
              <w:right w:val="single" w:sz="12" w:space="0" w:color="auto"/>
            </w:tcBorders>
            <w:shd w:val="clear" w:color="auto" w:fill="auto"/>
            <w:vAlign w:val="center"/>
          </w:tcPr>
          <w:p w14:paraId="22462531" w14:textId="556FD554" w:rsidR="0036557A" w:rsidRPr="006E1187" w:rsidRDefault="0036557A" w:rsidP="00E3798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6E1187">
              <w:rPr>
                <w:rFonts w:ascii="Verdana" w:eastAsia="Times New Roman" w:hAnsi="Verdana"/>
                <w:sz w:val="20"/>
                <w:szCs w:val="20"/>
              </w:rPr>
              <w:t>Brand</w:t>
            </w:r>
          </w:p>
        </w:tc>
        <w:tc>
          <w:tcPr>
            <w:tcW w:w="1170" w:type="dxa"/>
            <w:tcBorders>
              <w:top w:val="single" w:sz="12" w:space="0" w:color="000000"/>
              <w:left w:val="single" w:sz="12" w:space="0" w:color="auto"/>
              <w:bottom w:val="single" w:sz="18" w:space="0" w:color="000000"/>
              <w:right w:val="single" w:sz="8" w:space="0" w:color="auto"/>
            </w:tcBorders>
            <w:vAlign w:val="center"/>
          </w:tcPr>
          <w:p w14:paraId="06DA04D0" w14:textId="1B01B08B"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auto"/>
              <w:bottom w:val="single" w:sz="18" w:space="0" w:color="000000"/>
              <w:right w:val="single" w:sz="18" w:space="0" w:color="auto"/>
            </w:tcBorders>
            <w:vAlign w:val="center"/>
          </w:tcPr>
          <w:p w14:paraId="780D8EDB" w14:textId="20DD5CB7"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Change</w:t>
            </w:r>
          </w:p>
        </w:tc>
        <w:tc>
          <w:tcPr>
            <w:tcW w:w="2430" w:type="dxa"/>
            <w:tcBorders>
              <w:top w:val="single" w:sz="12" w:space="0" w:color="000000"/>
              <w:left w:val="single" w:sz="18" w:space="0" w:color="auto"/>
              <w:bottom w:val="single" w:sz="18" w:space="0" w:color="000000"/>
              <w:right w:val="single" w:sz="12" w:space="0" w:color="auto"/>
            </w:tcBorders>
            <w:vAlign w:val="center"/>
          </w:tcPr>
          <w:p w14:paraId="3B2E6165" w14:textId="7D176F3B"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Brand</w:t>
            </w:r>
          </w:p>
        </w:tc>
        <w:tc>
          <w:tcPr>
            <w:tcW w:w="1170" w:type="dxa"/>
            <w:tcBorders>
              <w:top w:val="single" w:sz="12" w:space="0" w:color="000000"/>
              <w:left w:val="single" w:sz="12" w:space="0" w:color="auto"/>
              <w:bottom w:val="single" w:sz="18" w:space="0" w:color="000000"/>
              <w:right w:val="single" w:sz="8" w:space="0" w:color="000000"/>
            </w:tcBorders>
            <w:vAlign w:val="center"/>
          </w:tcPr>
          <w:p w14:paraId="1F816C0D" w14:textId="1B48EE57"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000000"/>
              <w:bottom w:val="single" w:sz="18" w:space="0" w:color="000000"/>
              <w:right w:val="single" w:sz="12" w:space="0" w:color="000000"/>
            </w:tcBorders>
            <w:vAlign w:val="center"/>
          </w:tcPr>
          <w:p w14:paraId="7D5B20A7" w14:textId="6361DC61"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Change</w:t>
            </w:r>
          </w:p>
        </w:tc>
      </w:tr>
      <w:tr w:rsidR="0036557A" w:rsidRPr="006E1187" w14:paraId="3A7AA1FC" w14:textId="77777777" w:rsidTr="00E3798E">
        <w:trPr>
          <w:jc w:val="center"/>
        </w:trPr>
        <w:tc>
          <w:tcPr>
            <w:tcW w:w="2430" w:type="dxa"/>
            <w:tcBorders>
              <w:top w:val="single" w:sz="18" w:space="0" w:color="000000"/>
              <w:left w:val="single" w:sz="12" w:space="0" w:color="000000"/>
              <w:bottom w:val="single" w:sz="4" w:space="0" w:color="000000"/>
              <w:right w:val="single" w:sz="12" w:space="0" w:color="auto"/>
            </w:tcBorders>
            <w:vAlign w:val="center"/>
          </w:tcPr>
          <w:p w14:paraId="2D14CD1B" w14:textId="26810D0F" w:rsidR="0036557A" w:rsidRPr="006E1187" w:rsidRDefault="0036557A" w:rsidP="0036557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Private label</w:t>
            </w:r>
          </w:p>
        </w:tc>
        <w:tc>
          <w:tcPr>
            <w:tcW w:w="1170" w:type="dxa"/>
            <w:tcBorders>
              <w:top w:val="single" w:sz="18" w:space="0" w:color="000000"/>
              <w:left w:val="single" w:sz="12" w:space="0" w:color="auto"/>
              <w:bottom w:val="single" w:sz="4" w:space="0" w:color="000000"/>
              <w:right w:val="single" w:sz="8" w:space="0" w:color="auto"/>
            </w:tcBorders>
            <w:vAlign w:val="center"/>
          </w:tcPr>
          <w:p w14:paraId="4F5BF6C1" w14:textId="78A866B6"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$1.07 B</w:t>
            </w:r>
          </w:p>
        </w:tc>
        <w:tc>
          <w:tcPr>
            <w:tcW w:w="1170" w:type="dxa"/>
            <w:tcBorders>
              <w:top w:val="single" w:sz="18" w:space="0" w:color="000000"/>
              <w:left w:val="single" w:sz="8" w:space="0" w:color="auto"/>
              <w:bottom w:val="single" w:sz="4" w:space="0" w:color="000000"/>
              <w:right w:val="single" w:sz="18" w:space="0" w:color="auto"/>
            </w:tcBorders>
            <w:vAlign w:val="center"/>
          </w:tcPr>
          <w:p w14:paraId="120D57AF" w14:textId="6FE6E9F3"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-2.6%</w:t>
            </w:r>
          </w:p>
        </w:tc>
        <w:tc>
          <w:tcPr>
            <w:tcW w:w="2430" w:type="dxa"/>
            <w:tcBorders>
              <w:top w:val="single" w:sz="18" w:space="0" w:color="000000"/>
              <w:left w:val="single" w:sz="18" w:space="0" w:color="auto"/>
              <w:bottom w:val="single" w:sz="4" w:space="0" w:color="000000"/>
              <w:right w:val="single" w:sz="12" w:space="0" w:color="auto"/>
            </w:tcBorders>
            <w:vAlign w:val="center"/>
          </w:tcPr>
          <w:p w14:paraId="24E98401" w14:textId="6E8F2924" w:rsidR="0036557A" w:rsidRPr="006E1187" w:rsidRDefault="0036557A" w:rsidP="0036557A">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Turkey Hill</w:t>
            </w:r>
          </w:p>
        </w:tc>
        <w:tc>
          <w:tcPr>
            <w:tcW w:w="1170" w:type="dxa"/>
            <w:tcBorders>
              <w:top w:val="single" w:sz="18" w:space="0" w:color="000000"/>
              <w:left w:val="single" w:sz="12" w:space="0" w:color="auto"/>
              <w:bottom w:val="single" w:sz="4" w:space="0" w:color="000000"/>
              <w:right w:val="single" w:sz="8" w:space="0" w:color="000000"/>
            </w:tcBorders>
            <w:vAlign w:val="center"/>
          </w:tcPr>
          <w:p w14:paraId="7C418F38" w14:textId="052A4736"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$277.3 M</w:t>
            </w:r>
          </w:p>
        </w:tc>
        <w:tc>
          <w:tcPr>
            <w:tcW w:w="1170" w:type="dxa"/>
            <w:tcBorders>
              <w:top w:val="single" w:sz="18" w:space="0" w:color="000000"/>
              <w:left w:val="single" w:sz="8" w:space="0" w:color="000000"/>
              <w:bottom w:val="single" w:sz="4" w:space="0" w:color="000000"/>
              <w:right w:val="single" w:sz="12" w:space="0" w:color="000000"/>
            </w:tcBorders>
            <w:vAlign w:val="center"/>
          </w:tcPr>
          <w:p w14:paraId="2D79F361" w14:textId="41FAA348"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+0.4%</w:t>
            </w:r>
          </w:p>
        </w:tc>
      </w:tr>
      <w:tr w:rsidR="0036557A" w:rsidRPr="006E1187" w14:paraId="3845DFA0" w14:textId="77777777" w:rsidTr="00E3798E">
        <w:trPr>
          <w:jc w:val="center"/>
        </w:trPr>
        <w:tc>
          <w:tcPr>
            <w:tcW w:w="2430" w:type="dxa"/>
            <w:tcBorders>
              <w:top w:val="single" w:sz="4" w:space="0" w:color="000000"/>
              <w:left w:val="single" w:sz="12" w:space="0" w:color="000000"/>
              <w:bottom w:val="single" w:sz="4" w:space="0" w:color="000000"/>
              <w:right w:val="single" w:sz="12" w:space="0" w:color="auto"/>
            </w:tcBorders>
            <w:vAlign w:val="center"/>
          </w:tcPr>
          <w:p w14:paraId="0DA520E8" w14:textId="686A22D1" w:rsidR="0036557A" w:rsidRPr="006E1187" w:rsidRDefault="0036557A" w:rsidP="0036557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Ben &amp; Jerry’s</w:t>
            </w:r>
          </w:p>
        </w:tc>
        <w:tc>
          <w:tcPr>
            <w:tcW w:w="1170" w:type="dxa"/>
            <w:tcBorders>
              <w:top w:val="single" w:sz="4" w:space="0" w:color="000000"/>
              <w:left w:val="single" w:sz="12" w:space="0" w:color="auto"/>
              <w:bottom w:val="single" w:sz="4" w:space="0" w:color="000000"/>
              <w:right w:val="single" w:sz="8" w:space="0" w:color="auto"/>
            </w:tcBorders>
            <w:vAlign w:val="center"/>
          </w:tcPr>
          <w:p w14:paraId="68B92CF8" w14:textId="234D4DA6"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sidRPr="006E1187">
              <w:rPr>
                <w:rFonts w:ascii="Verdana" w:eastAsia="Times New Roman" w:hAnsi="Verdana"/>
                <w:sz w:val="20"/>
                <w:szCs w:val="20"/>
              </w:rPr>
              <w:t>$662.5 M</w:t>
            </w:r>
          </w:p>
        </w:tc>
        <w:tc>
          <w:tcPr>
            <w:tcW w:w="1170" w:type="dxa"/>
            <w:tcBorders>
              <w:top w:val="single" w:sz="4" w:space="0" w:color="000000"/>
              <w:left w:val="single" w:sz="8" w:space="0" w:color="auto"/>
              <w:bottom w:val="single" w:sz="4" w:space="0" w:color="000000"/>
              <w:right w:val="single" w:sz="18" w:space="0" w:color="auto"/>
            </w:tcBorders>
            <w:vAlign w:val="center"/>
          </w:tcPr>
          <w:p w14:paraId="12EC2E63" w14:textId="6BA5C824"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+3.6%</w:t>
            </w:r>
          </w:p>
        </w:tc>
        <w:tc>
          <w:tcPr>
            <w:tcW w:w="2430" w:type="dxa"/>
            <w:tcBorders>
              <w:top w:val="single" w:sz="4" w:space="0" w:color="000000"/>
              <w:left w:val="single" w:sz="18" w:space="0" w:color="auto"/>
              <w:bottom w:val="single" w:sz="4" w:space="0" w:color="000000"/>
              <w:right w:val="single" w:sz="12" w:space="0" w:color="auto"/>
            </w:tcBorders>
            <w:vAlign w:val="center"/>
          </w:tcPr>
          <w:p w14:paraId="09BC5818" w14:textId="4756D1A1" w:rsidR="0036557A" w:rsidRPr="006E1187" w:rsidRDefault="0036557A" w:rsidP="0036557A">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Talenti</w:t>
            </w:r>
          </w:p>
        </w:tc>
        <w:tc>
          <w:tcPr>
            <w:tcW w:w="1170" w:type="dxa"/>
            <w:tcBorders>
              <w:top w:val="single" w:sz="4" w:space="0" w:color="000000"/>
              <w:left w:val="single" w:sz="12" w:space="0" w:color="auto"/>
              <w:bottom w:val="single" w:sz="4" w:space="0" w:color="000000"/>
              <w:right w:val="single" w:sz="8" w:space="0" w:color="000000"/>
            </w:tcBorders>
            <w:vAlign w:val="center"/>
          </w:tcPr>
          <w:p w14:paraId="4378624D" w14:textId="68B4EA79" w:rsidR="0036557A" w:rsidRPr="006E1187" w:rsidRDefault="0036557A" w:rsidP="00E3798E">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sidRPr="006E1187">
              <w:rPr>
                <w:rFonts w:ascii="Verdana" w:eastAsia="Times New Roman" w:hAnsi="Verdana"/>
                <w:sz w:val="20"/>
                <w:szCs w:val="20"/>
              </w:rPr>
              <w:t>$218.7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198C592D" w14:textId="7F940DC1" w:rsidR="0036557A" w:rsidRPr="006E1187" w:rsidRDefault="0036557A" w:rsidP="00E3798E">
            <w:pPr>
              <w:widowControl w:val="0"/>
              <w:tabs>
                <w:tab w:val="left" w:pos="220"/>
                <w:tab w:val="left" w:pos="720"/>
              </w:tabs>
              <w:autoSpaceDE w:val="0"/>
              <w:autoSpaceDN w:val="0"/>
              <w:adjustRightInd w:val="0"/>
              <w:spacing w:after="0" w:line="240" w:lineRule="auto"/>
              <w:ind w:left="36"/>
              <w:contextualSpacing/>
              <w:jc w:val="right"/>
              <w:rPr>
                <w:rFonts w:ascii="Verdana" w:eastAsia="Times New Roman" w:hAnsi="Verdana"/>
                <w:sz w:val="20"/>
                <w:szCs w:val="20"/>
              </w:rPr>
            </w:pPr>
            <w:r w:rsidRPr="006E1187">
              <w:rPr>
                <w:rFonts w:ascii="Verdana" w:eastAsia="Times New Roman" w:hAnsi="Verdana"/>
                <w:sz w:val="20"/>
                <w:szCs w:val="20"/>
              </w:rPr>
              <w:t>-12.5%</w:t>
            </w:r>
          </w:p>
        </w:tc>
      </w:tr>
      <w:tr w:rsidR="0036557A" w:rsidRPr="006E1187" w14:paraId="069A7C88" w14:textId="77777777" w:rsidTr="00E3798E">
        <w:trPr>
          <w:jc w:val="center"/>
        </w:trPr>
        <w:tc>
          <w:tcPr>
            <w:tcW w:w="2430" w:type="dxa"/>
            <w:tcBorders>
              <w:top w:val="single" w:sz="4" w:space="0" w:color="000000"/>
              <w:left w:val="single" w:sz="12" w:space="0" w:color="000000"/>
              <w:bottom w:val="single" w:sz="4" w:space="0" w:color="000000"/>
              <w:right w:val="single" w:sz="12" w:space="0" w:color="auto"/>
            </w:tcBorders>
            <w:vAlign w:val="center"/>
          </w:tcPr>
          <w:p w14:paraId="6BA0D384" w14:textId="69C7CD3A" w:rsidR="0036557A" w:rsidRPr="006E1187" w:rsidRDefault="008E46FD" w:rsidP="0036557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Blue Bell</w:t>
            </w:r>
          </w:p>
        </w:tc>
        <w:tc>
          <w:tcPr>
            <w:tcW w:w="1170" w:type="dxa"/>
            <w:tcBorders>
              <w:top w:val="single" w:sz="4" w:space="0" w:color="000000"/>
              <w:left w:val="single" w:sz="12" w:space="0" w:color="auto"/>
              <w:bottom w:val="single" w:sz="4" w:space="0" w:color="000000"/>
              <w:right w:val="single" w:sz="8" w:space="0" w:color="auto"/>
            </w:tcBorders>
            <w:vAlign w:val="center"/>
          </w:tcPr>
          <w:p w14:paraId="2D7EF08C" w14:textId="09896774"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$556.7 M</w:t>
            </w:r>
          </w:p>
        </w:tc>
        <w:tc>
          <w:tcPr>
            <w:tcW w:w="1170" w:type="dxa"/>
            <w:tcBorders>
              <w:top w:val="single" w:sz="4" w:space="0" w:color="000000"/>
              <w:left w:val="single" w:sz="8" w:space="0" w:color="auto"/>
              <w:bottom w:val="single" w:sz="4" w:space="0" w:color="000000"/>
              <w:right w:val="single" w:sz="18" w:space="0" w:color="auto"/>
            </w:tcBorders>
            <w:vAlign w:val="center"/>
          </w:tcPr>
          <w:p w14:paraId="13DF595B" w14:textId="4EE56073"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+10.1%</w:t>
            </w:r>
          </w:p>
        </w:tc>
        <w:tc>
          <w:tcPr>
            <w:tcW w:w="2430" w:type="dxa"/>
            <w:tcBorders>
              <w:top w:val="single" w:sz="4" w:space="0" w:color="000000"/>
              <w:left w:val="single" w:sz="18" w:space="0" w:color="auto"/>
              <w:bottom w:val="single" w:sz="4" w:space="0" w:color="000000"/>
              <w:right w:val="single" w:sz="12" w:space="0" w:color="auto"/>
            </w:tcBorders>
            <w:vAlign w:val="center"/>
          </w:tcPr>
          <w:p w14:paraId="7A73A8D5" w14:textId="6DE0913B" w:rsidR="0036557A" w:rsidRPr="006E1187" w:rsidRDefault="0036557A" w:rsidP="0036557A">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Dreyer’s/Edy’s Grand</w:t>
            </w:r>
          </w:p>
        </w:tc>
        <w:tc>
          <w:tcPr>
            <w:tcW w:w="1170" w:type="dxa"/>
            <w:tcBorders>
              <w:top w:val="single" w:sz="4" w:space="0" w:color="000000"/>
              <w:left w:val="single" w:sz="12" w:space="0" w:color="auto"/>
              <w:bottom w:val="single" w:sz="4" w:space="0" w:color="000000"/>
              <w:right w:val="single" w:sz="8" w:space="0" w:color="000000"/>
            </w:tcBorders>
            <w:vAlign w:val="center"/>
          </w:tcPr>
          <w:p w14:paraId="0AE6573C" w14:textId="5B3088D5"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$218.5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4220FD19" w14:textId="6FFE2BB7"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-3.9%</w:t>
            </w:r>
          </w:p>
        </w:tc>
      </w:tr>
      <w:tr w:rsidR="0036557A" w:rsidRPr="006E1187" w14:paraId="3DBB251E" w14:textId="77777777" w:rsidTr="00E3798E">
        <w:trPr>
          <w:jc w:val="center"/>
        </w:trPr>
        <w:tc>
          <w:tcPr>
            <w:tcW w:w="2430" w:type="dxa"/>
            <w:tcBorders>
              <w:top w:val="single" w:sz="4" w:space="0" w:color="000000"/>
              <w:left w:val="single" w:sz="12" w:space="0" w:color="000000"/>
              <w:bottom w:val="single" w:sz="4" w:space="0" w:color="000000"/>
              <w:right w:val="single" w:sz="12" w:space="0" w:color="auto"/>
            </w:tcBorders>
            <w:vAlign w:val="center"/>
          </w:tcPr>
          <w:p w14:paraId="6FA815B7" w14:textId="30070B16" w:rsidR="0036557A" w:rsidRPr="006E1187" w:rsidRDefault="0036557A" w:rsidP="0036557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Haagen Dazs</w:t>
            </w:r>
          </w:p>
        </w:tc>
        <w:tc>
          <w:tcPr>
            <w:tcW w:w="1170" w:type="dxa"/>
            <w:tcBorders>
              <w:top w:val="single" w:sz="4" w:space="0" w:color="000000"/>
              <w:left w:val="single" w:sz="12" w:space="0" w:color="auto"/>
              <w:bottom w:val="single" w:sz="4" w:space="0" w:color="000000"/>
              <w:right w:val="single" w:sz="8" w:space="0" w:color="auto"/>
            </w:tcBorders>
            <w:vAlign w:val="center"/>
          </w:tcPr>
          <w:p w14:paraId="7962B41D" w14:textId="0E230713"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$541.9 M</w:t>
            </w:r>
          </w:p>
        </w:tc>
        <w:tc>
          <w:tcPr>
            <w:tcW w:w="1170" w:type="dxa"/>
            <w:tcBorders>
              <w:top w:val="single" w:sz="4" w:space="0" w:color="000000"/>
              <w:left w:val="single" w:sz="8" w:space="0" w:color="auto"/>
              <w:bottom w:val="single" w:sz="4" w:space="0" w:color="000000"/>
              <w:right w:val="single" w:sz="18" w:space="0" w:color="auto"/>
            </w:tcBorders>
            <w:vAlign w:val="center"/>
          </w:tcPr>
          <w:p w14:paraId="1E56030C" w14:textId="41E87419"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-1.8%</w:t>
            </w:r>
          </w:p>
        </w:tc>
        <w:tc>
          <w:tcPr>
            <w:tcW w:w="2430" w:type="dxa"/>
            <w:tcBorders>
              <w:top w:val="single" w:sz="4" w:space="0" w:color="000000"/>
              <w:left w:val="single" w:sz="18" w:space="0" w:color="auto"/>
              <w:bottom w:val="single" w:sz="4" w:space="0" w:color="000000"/>
              <w:right w:val="single" w:sz="12" w:space="0" w:color="auto"/>
            </w:tcBorders>
            <w:vAlign w:val="center"/>
          </w:tcPr>
          <w:p w14:paraId="64BF96AF" w14:textId="04E0119B" w:rsidR="0036557A" w:rsidRPr="006E1187" w:rsidRDefault="0036557A" w:rsidP="0036557A">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Blue Bunny</w:t>
            </w:r>
          </w:p>
        </w:tc>
        <w:tc>
          <w:tcPr>
            <w:tcW w:w="1170" w:type="dxa"/>
            <w:tcBorders>
              <w:top w:val="single" w:sz="4" w:space="0" w:color="000000"/>
              <w:left w:val="single" w:sz="12" w:space="0" w:color="auto"/>
              <w:bottom w:val="single" w:sz="4" w:space="0" w:color="000000"/>
              <w:right w:val="single" w:sz="8" w:space="0" w:color="000000"/>
            </w:tcBorders>
            <w:vAlign w:val="center"/>
          </w:tcPr>
          <w:p w14:paraId="3361C7ED" w14:textId="2310202E" w:rsidR="0036557A" w:rsidRPr="006E1187" w:rsidRDefault="0036557A" w:rsidP="00E3798E">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sidRPr="006E1187">
              <w:rPr>
                <w:rFonts w:ascii="Verdana" w:eastAsia="Times New Roman" w:hAnsi="Verdana"/>
                <w:sz w:val="20"/>
                <w:szCs w:val="20"/>
              </w:rPr>
              <w:t>$197.4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2504A1AD" w14:textId="3CAF5961" w:rsidR="0036557A" w:rsidRPr="006E1187" w:rsidRDefault="0036557A" w:rsidP="00E3798E">
            <w:pPr>
              <w:widowControl w:val="0"/>
              <w:tabs>
                <w:tab w:val="left" w:pos="220"/>
                <w:tab w:val="left" w:pos="720"/>
              </w:tabs>
              <w:autoSpaceDE w:val="0"/>
              <w:autoSpaceDN w:val="0"/>
              <w:adjustRightInd w:val="0"/>
              <w:spacing w:after="0" w:line="240" w:lineRule="auto"/>
              <w:ind w:left="66"/>
              <w:contextualSpacing/>
              <w:jc w:val="right"/>
              <w:rPr>
                <w:rFonts w:ascii="Verdana" w:eastAsia="Times New Roman" w:hAnsi="Verdana"/>
                <w:sz w:val="20"/>
                <w:szCs w:val="20"/>
              </w:rPr>
            </w:pPr>
            <w:r w:rsidRPr="006E1187">
              <w:rPr>
                <w:rFonts w:ascii="Verdana" w:eastAsia="Times New Roman" w:hAnsi="Verdana"/>
                <w:sz w:val="20"/>
                <w:szCs w:val="20"/>
              </w:rPr>
              <w:t>-4.9%</w:t>
            </w:r>
          </w:p>
        </w:tc>
      </w:tr>
      <w:tr w:rsidR="0036557A" w:rsidRPr="006E1187" w14:paraId="58143D1D" w14:textId="77777777" w:rsidTr="00E3798E">
        <w:trPr>
          <w:jc w:val="center"/>
        </w:trPr>
        <w:tc>
          <w:tcPr>
            <w:tcW w:w="2430" w:type="dxa"/>
            <w:tcBorders>
              <w:top w:val="single" w:sz="4" w:space="0" w:color="000000"/>
              <w:left w:val="single" w:sz="12" w:space="0" w:color="000000"/>
              <w:bottom w:val="single" w:sz="4" w:space="0" w:color="000000"/>
              <w:right w:val="single" w:sz="12" w:space="0" w:color="auto"/>
            </w:tcBorders>
            <w:vAlign w:val="center"/>
          </w:tcPr>
          <w:p w14:paraId="4F8BBD60" w14:textId="0AFD8175" w:rsidR="0036557A" w:rsidRPr="006E1187" w:rsidRDefault="0036557A" w:rsidP="0036557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Breyers</w:t>
            </w:r>
          </w:p>
        </w:tc>
        <w:tc>
          <w:tcPr>
            <w:tcW w:w="1170" w:type="dxa"/>
            <w:tcBorders>
              <w:top w:val="single" w:sz="4" w:space="0" w:color="000000"/>
              <w:left w:val="single" w:sz="12" w:space="0" w:color="auto"/>
              <w:bottom w:val="single" w:sz="4" w:space="0" w:color="000000"/>
              <w:right w:val="single" w:sz="8" w:space="0" w:color="auto"/>
            </w:tcBorders>
            <w:vAlign w:val="center"/>
          </w:tcPr>
          <w:p w14:paraId="7B907FEC" w14:textId="5145579A"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$515.4 M</w:t>
            </w:r>
          </w:p>
        </w:tc>
        <w:tc>
          <w:tcPr>
            <w:tcW w:w="1170" w:type="dxa"/>
            <w:tcBorders>
              <w:top w:val="single" w:sz="4" w:space="0" w:color="000000"/>
              <w:left w:val="single" w:sz="8" w:space="0" w:color="auto"/>
              <w:bottom w:val="single" w:sz="4" w:space="0" w:color="000000"/>
              <w:right w:val="single" w:sz="18" w:space="0" w:color="auto"/>
            </w:tcBorders>
            <w:vAlign w:val="center"/>
          </w:tcPr>
          <w:p w14:paraId="3EECDEAC" w14:textId="7C13C1D0"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-0.4%</w:t>
            </w:r>
          </w:p>
        </w:tc>
        <w:tc>
          <w:tcPr>
            <w:tcW w:w="2430" w:type="dxa"/>
            <w:tcBorders>
              <w:top w:val="single" w:sz="4" w:space="0" w:color="000000"/>
              <w:left w:val="single" w:sz="18" w:space="0" w:color="auto"/>
              <w:bottom w:val="single" w:sz="4" w:space="0" w:color="000000"/>
              <w:right w:val="single" w:sz="12" w:space="0" w:color="auto"/>
            </w:tcBorders>
            <w:vAlign w:val="center"/>
          </w:tcPr>
          <w:p w14:paraId="20273B50" w14:textId="4A5CA1BA" w:rsidR="0036557A" w:rsidRPr="006E1187" w:rsidRDefault="0036557A" w:rsidP="0036557A">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Total category</w:t>
            </w:r>
          </w:p>
        </w:tc>
        <w:tc>
          <w:tcPr>
            <w:tcW w:w="1170" w:type="dxa"/>
            <w:tcBorders>
              <w:top w:val="single" w:sz="4" w:space="0" w:color="000000"/>
              <w:left w:val="single" w:sz="12" w:space="0" w:color="auto"/>
              <w:bottom w:val="single" w:sz="4" w:space="0" w:color="000000"/>
              <w:right w:val="single" w:sz="8" w:space="0" w:color="000000"/>
            </w:tcBorders>
            <w:vAlign w:val="center"/>
          </w:tcPr>
          <w:p w14:paraId="28EDA01F" w14:textId="3A7F5F63"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$6.17 B</w:t>
            </w:r>
          </w:p>
        </w:tc>
        <w:tc>
          <w:tcPr>
            <w:tcW w:w="1170" w:type="dxa"/>
            <w:tcBorders>
              <w:top w:val="single" w:sz="4" w:space="0" w:color="000000"/>
              <w:left w:val="single" w:sz="8" w:space="0" w:color="000000"/>
              <w:bottom w:val="single" w:sz="4" w:space="0" w:color="000000"/>
              <w:right w:val="single" w:sz="12" w:space="0" w:color="000000"/>
            </w:tcBorders>
            <w:vAlign w:val="center"/>
          </w:tcPr>
          <w:p w14:paraId="1C1B22D6" w14:textId="13406DD0"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+1.2%</w:t>
            </w:r>
          </w:p>
        </w:tc>
      </w:tr>
      <w:tr w:rsidR="0036557A" w:rsidRPr="006E1187" w14:paraId="2D8944AF" w14:textId="77777777" w:rsidTr="00E3798E">
        <w:trPr>
          <w:jc w:val="center"/>
        </w:trPr>
        <w:tc>
          <w:tcPr>
            <w:tcW w:w="2430" w:type="dxa"/>
            <w:tcBorders>
              <w:top w:val="single" w:sz="4" w:space="0" w:color="000000"/>
              <w:left w:val="single" w:sz="12" w:space="0" w:color="000000"/>
              <w:bottom w:val="single" w:sz="12" w:space="0" w:color="000000"/>
              <w:right w:val="single" w:sz="12" w:space="0" w:color="auto"/>
            </w:tcBorders>
            <w:vAlign w:val="center"/>
          </w:tcPr>
          <w:p w14:paraId="195B4A90" w14:textId="484F19AC" w:rsidR="0036557A" w:rsidRPr="006E1187" w:rsidRDefault="0036557A" w:rsidP="0036557A">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Halo Top</w:t>
            </w:r>
          </w:p>
        </w:tc>
        <w:tc>
          <w:tcPr>
            <w:tcW w:w="1170" w:type="dxa"/>
            <w:tcBorders>
              <w:top w:val="single" w:sz="4" w:space="0" w:color="000000"/>
              <w:left w:val="single" w:sz="12" w:space="0" w:color="auto"/>
              <w:bottom w:val="single" w:sz="12" w:space="0" w:color="000000"/>
              <w:right w:val="single" w:sz="8" w:space="0" w:color="auto"/>
            </w:tcBorders>
            <w:vAlign w:val="center"/>
          </w:tcPr>
          <w:p w14:paraId="5E4847AF" w14:textId="1D98B8D9"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$338.2 M</w:t>
            </w:r>
          </w:p>
        </w:tc>
        <w:tc>
          <w:tcPr>
            <w:tcW w:w="1170" w:type="dxa"/>
            <w:tcBorders>
              <w:top w:val="single" w:sz="4" w:space="0" w:color="000000"/>
              <w:left w:val="single" w:sz="8" w:space="0" w:color="auto"/>
              <w:bottom w:val="single" w:sz="12" w:space="0" w:color="000000"/>
              <w:right w:val="single" w:sz="18" w:space="0" w:color="auto"/>
            </w:tcBorders>
            <w:vAlign w:val="center"/>
          </w:tcPr>
          <w:p w14:paraId="15F2E875" w14:textId="06F81CC0" w:rsidR="0036557A" w:rsidRPr="006E1187" w:rsidRDefault="0036557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+39.1%</w:t>
            </w:r>
          </w:p>
        </w:tc>
        <w:tc>
          <w:tcPr>
            <w:tcW w:w="2430" w:type="dxa"/>
            <w:tcBorders>
              <w:top w:val="single" w:sz="4" w:space="0" w:color="000000"/>
              <w:left w:val="single" w:sz="18" w:space="0" w:color="auto"/>
              <w:bottom w:val="single" w:sz="12" w:space="0" w:color="000000"/>
              <w:right w:val="single" w:sz="12" w:space="0" w:color="auto"/>
            </w:tcBorders>
            <w:shd w:val="clear" w:color="auto" w:fill="D9D9D9" w:themeFill="background1" w:themeFillShade="D9"/>
            <w:vAlign w:val="center"/>
          </w:tcPr>
          <w:p w14:paraId="22CC88DA" w14:textId="77777777" w:rsidR="0036557A" w:rsidRPr="006E1187" w:rsidRDefault="0036557A" w:rsidP="0036557A">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p>
        </w:tc>
        <w:tc>
          <w:tcPr>
            <w:tcW w:w="1170" w:type="dxa"/>
            <w:tcBorders>
              <w:top w:val="single" w:sz="4" w:space="0" w:color="000000"/>
              <w:left w:val="single" w:sz="12" w:space="0" w:color="auto"/>
              <w:bottom w:val="single" w:sz="12" w:space="0" w:color="000000"/>
              <w:right w:val="single" w:sz="8" w:space="0" w:color="000000"/>
            </w:tcBorders>
            <w:shd w:val="clear" w:color="auto" w:fill="D9D9D9" w:themeFill="background1" w:themeFillShade="D9"/>
          </w:tcPr>
          <w:p w14:paraId="1BAADD74" w14:textId="77777777" w:rsidR="0036557A" w:rsidRPr="006E1187" w:rsidRDefault="0036557A" w:rsidP="0036557A">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c>
          <w:tcPr>
            <w:tcW w:w="1170" w:type="dxa"/>
            <w:tcBorders>
              <w:top w:val="single" w:sz="4" w:space="0" w:color="000000"/>
              <w:left w:val="single" w:sz="8" w:space="0" w:color="000000"/>
              <w:bottom w:val="single" w:sz="12" w:space="0" w:color="000000"/>
              <w:right w:val="single" w:sz="12" w:space="0" w:color="000000"/>
            </w:tcBorders>
            <w:shd w:val="clear" w:color="auto" w:fill="D9D9D9" w:themeFill="background1" w:themeFillShade="D9"/>
            <w:vAlign w:val="center"/>
          </w:tcPr>
          <w:p w14:paraId="04FE5ED8" w14:textId="77777777" w:rsidR="0036557A" w:rsidRPr="006E1187" w:rsidRDefault="0036557A" w:rsidP="0036557A">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r>
    </w:tbl>
    <w:p w14:paraId="1B79656B" w14:textId="3119288D" w:rsidR="00905C76" w:rsidRPr="006E1187" w:rsidRDefault="0036557A" w:rsidP="008E46FD">
      <w:pPr>
        <w:spacing w:after="0" w:line="240" w:lineRule="auto"/>
        <w:ind w:hanging="90"/>
        <w:contextualSpacing/>
        <w:mirrorIndents/>
        <w:rPr>
          <w:rFonts w:ascii="Verdana" w:hAnsi="Verdana"/>
          <w:sz w:val="20"/>
          <w:szCs w:val="20"/>
        </w:rPr>
      </w:pPr>
      <w:r w:rsidRPr="006E1187">
        <w:rPr>
          <w:rFonts w:ascii="Verdana" w:hAnsi="Verdana"/>
          <w:i/>
          <w:sz w:val="16"/>
          <w:szCs w:val="16"/>
        </w:rPr>
        <w:t>Dairy Foods</w:t>
      </w:r>
      <w:r w:rsidR="00905C76" w:rsidRPr="006E1187">
        <w:rPr>
          <w:rFonts w:ascii="Verdana" w:hAnsi="Verdana"/>
          <w:sz w:val="16"/>
          <w:szCs w:val="16"/>
        </w:rPr>
        <w:t xml:space="preserve">, </w:t>
      </w:r>
      <w:r w:rsidRPr="006E1187">
        <w:rPr>
          <w:rFonts w:ascii="Verdana" w:hAnsi="Verdana"/>
          <w:sz w:val="16"/>
          <w:szCs w:val="16"/>
        </w:rPr>
        <w:t xml:space="preserve">November </w:t>
      </w:r>
      <w:r w:rsidR="00905C76" w:rsidRPr="006E1187">
        <w:rPr>
          <w:rFonts w:ascii="Verdana" w:hAnsi="Verdana"/>
          <w:sz w:val="16"/>
          <w:szCs w:val="16"/>
        </w:rPr>
        <w:t>2018</w:t>
      </w:r>
      <w:r w:rsidR="003F0423" w:rsidRPr="006E1187">
        <w:rPr>
          <w:rFonts w:ascii="Verdana" w:hAnsi="Verdana"/>
          <w:sz w:val="16"/>
          <w:szCs w:val="16"/>
        </w:rPr>
        <w:tab/>
      </w:r>
      <w:r w:rsidR="003F0423" w:rsidRPr="006E1187">
        <w:rPr>
          <w:rFonts w:ascii="Verdana" w:hAnsi="Verdana"/>
          <w:sz w:val="16"/>
          <w:szCs w:val="16"/>
        </w:rPr>
        <w:tab/>
      </w:r>
      <w:r w:rsidR="003F0423" w:rsidRPr="006E1187">
        <w:rPr>
          <w:rFonts w:ascii="Verdana" w:hAnsi="Verdana"/>
          <w:sz w:val="16"/>
          <w:szCs w:val="16"/>
        </w:rPr>
        <w:tab/>
      </w:r>
      <w:r w:rsidR="003F0423" w:rsidRPr="006E1187">
        <w:rPr>
          <w:rFonts w:ascii="Verdana" w:hAnsi="Verdana"/>
          <w:sz w:val="16"/>
          <w:szCs w:val="16"/>
        </w:rPr>
        <w:tab/>
      </w:r>
      <w:r w:rsidR="003F0423" w:rsidRPr="006E1187">
        <w:rPr>
          <w:rFonts w:ascii="Verdana" w:hAnsi="Verdana"/>
          <w:sz w:val="16"/>
          <w:szCs w:val="16"/>
        </w:rPr>
        <w:tab/>
        <w:t>*for 52 weeks ending August 12, 2018</w:t>
      </w:r>
    </w:p>
    <w:p w14:paraId="04F31AEF" w14:textId="7D5CF88B" w:rsidR="00905C76" w:rsidRPr="006E1187" w:rsidRDefault="00905C76" w:rsidP="007B1A70">
      <w:pPr>
        <w:spacing w:after="0" w:line="240" w:lineRule="auto"/>
        <w:contextualSpacing/>
        <w:mirrorIndents/>
        <w:rPr>
          <w:rFonts w:ascii="Verdana" w:hAnsi="Verdana"/>
          <w:sz w:val="20"/>
          <w:szCs w:val="20"/>
        </w:rPr>
      </w:pPr>
    </w:p>
    <w:p w14:paraId="2B065640" w14:textId="7C51E1B2" w:rsidR="007B1A70" w:rsidRPr="006E1187" w:rsidRDefault="007B1A70" w:rsidP="0036557A">
      <w:pPr>
        <w:spacing w:after="0" w:line="240" w:lineRule="auto"/>
        <w:contextualSpacing/>
        <w:mirrorIndents/>
        <w:jc w:val="center"/>
        <w:rPr>
          <w:rFonts w:ascii="Verdana" w:hAnsi="Verdana"/>
          <w:b/>
          <w:sz w:val="20"/>
          <w:szCs w:val="20"/>
        </w:rPr>
      </w:pPr>
      <w:r w:rsidRPr="006E1187">
        <w:rPr>
          <w:rFonts w:ascii="Verdana" w:hAnsi="Verdana"/>
          <w:b/>
          <w:color w:val="0070C0"/>
          <w:sz w:val="20"/>
          <w:szCs w:val="20"/>
        </w:rPr>
        <w:t>The Milk Segment Sours</w:t>
      </w:r>
    </w:p>
    <w:p w14:paraId="2D27AEDE" w14:textId="77777777" w:rsidR="007B1A70" w:rsidRPr="006E1187" w:rsidRDefault="007B1A70" w:rsidP="007B1A70">
      <w:pPr>
        <w:spacing w:after="0" w:line="240" w:lineRule="auto"/>
        <w:contextualSpacing/>
        <w:mirrorIndents/>
        <w:rPr>
          <w:rFonts w:ascii="Verdana" w:hAnsi="Verdana"/>
          <w:sz w:val="20"/>
          <w:szCs w:val="20"/>
        </w:rPr>
      </w:pPr>
    </w:p>
    <w:p w14:paraId="54737D4C" w14:textId="01D3348E" w:rsidR="0036557A" w:rsidRPr="006E1187" w:rsidRDefault="003F0423" w:rsidP="003F0423">
      <w:pPr>
        <w:pStyle w:val="ListParagraph"/>
        <w:numPr>
          <w:ilvl w:val="0"/>
          <w:numId w:val="3"/>
        </w:numPr>
        <w:spacing w:after="0" w:line="240" w:lineRule="auto"/>
        <w:mirrorIndents/>
        <w:rPr>
          <w:rFonts w:ascii="Verdana" w:hAnsi="Verdana"/>
          <w:sz w:val="20"/>
          <w:szCs w:val="20"/>
        </w:rPr>
      </w:pPr>
      <w:r w:rsidRPr="006E1187">
        <w:rPr>
          <w:rFonts w:ascii="Verdana" w:hAnsi="Verdana"/>
          <w:sz w:val="20"/>
          <w:szCs w:val="20"/>
        </w:rPr>
        <w:t>Although recent research has indicated the higher fat content of whole milk may be part of a healthy diet, the segment experienced a 3.9% decrease in dollar sales, or a total of $15.3 billion, for the 52 weeks ending August 12, 2018.</w:t>
      </w:r>
    </w:p>
    <w:p w14:paraId="607D609F" w14:textId="77777777" w:rsidR="0036557A" w:rsidRPr="006E1187" w:rsidRDefault="0036557A" w:rsidP="007B1A70">
      <w:pPr>
        <w:spacing w:after="0" w:line="240" w:lineRule="auto"/>
        <w:contextualSpacing/>
        <w:mirrorIndents/>
        <w:rPr>
          <w:rFonts w:ascii="Verdana" w:hAnsi="Verdana"/>
          <w:sz w:val="20"/>
          <w:szCs w:val="20"/>
        </w:rPr>
      </w:pPr>
    </w:p>
    <w:p w14:paraId="5D1E8B7A" w14:textId="7588C72B" w:rsidR="0036557A" w:rsidRPr="006E1187" w:rsidRDefault="003F0423" w:rsidP="003F0423">
      <w:pPr>
        <w:pStyle w:val="ListParagraph"/>
        <w:numPr>
          <w:ilvl w:val="0"/>
          <w:numId w:val="3"/>
        </w:numPr>
        <w:spacing w:after="0" w:line="240" w:lineRule="auto"/>
        <w:mirrorIndents/>
        <w:rPr>
          <w:rFonts w:ascii="Verdana" w:hAnsi="Verdana"/>
          <w:sz w:val="20"/>
          <w:szCs w:val="20"/>
        </w:rPr>
      </w:pPr>
      <w:r w:rsidRPr="006E1187">
        <w:rPr>
          <w:rFonts w:ascii="Verdana" w:hAnsi="Verdana"/>
          <w:sz w:val="20"/>
          <w:szCs w:val="20"/>
        </w:rPr>
        <w:t>The whole milk sub-category performed “better,” with just a 1.1 decrease in dollar sales to $4.75 billion, but a 1.8% increase in unit sales, or 1.69 billion, during the same 52-week period of 2018.</w:t>
      </w:r>
    </w:p>
    <w:p w14:paraId="738CAD9D" w14:textId="2C7C8010" w:rsidR="0036557A" w:rsidRPr="006E1187" w:rsidRDefault="0036557A" w:rsidP="007B1A70">
      <w:pPr>
        <w:spacing w:after="0" w:line="240" w:lineRule="auto"/>
        <w:contextualSpacing/>
        <w:mirrorIndents/>
        <w:rPr>
          <w:rFonts w:ascii="Verdana" w:hAnsi="Verdana"/>
          <w:sz w:val="20"/>
          <w:szCs w:val="20"/>
        </w:rPr>
      </w:pPr>
    </w:p>
    <w:p w14:paraId="011701C2" w14:textId="1B4DB808" w:rsidR="003F0423" w:rsidRPr="006E1187" w:rsidRDefault="003F0423" w:rsidP="007B1A70">
      <w:pPr>
        <w:pStyle w:val="ListParagraph"/>
        <w:numPr>
          <w:ilvl w:val="0"/>
          <w:numId w:val="3"/>
        </w:numPr>
        <w:spacing w:after="0" w:line="240" w:lineRule="auto"/>
        <w:mirrorIndents/>
        <w:rPr>
          <w:rFonts w:ascii="Verdana" w:hAnsi="Verdana"/>
          <w:sz w:val="20"/>
          <w:szCs w:val="20"/>
        </w:rPr>
      </w:pPr>
      <w:r w:rsidRPr="006E1187">
        <w:rPr>
          <w:rFonts w:ascii="Verdana" w:hAnsi="Verdana"/>
          <w:sz w:val="20"/>
          <w:szCs w:val="20"/>
        </w:rPr>
        <w:t>The refrigerated skim/low-fat milk sub-category continues to be the largest, but its dollar sales decreased significantly</w:t>
      </w:r>
      <w:r w:rsidR="00E3798E">
        <w:rPr>
          <w:rFonts w:ascii="Verdana" w:hAnsi="Verdana"/>
          <w:sz w:val="20"/>
          <w:szCs w:val="20"/>
        </w:rPr>
        <w:t>,</w:t>
      </w:r>
      <w:r w:rsidRPr="006E1187">
        <w:rPr>
          <w:rFonts w:ascii="Verdana" w:hAnsi="Verdana"/>
          <w:sz w:val="20"/>
          <w:szCs w:val="20"/>
        </w:rPr>
        <w:t xml:space="preserve"> by 8.4% to $7.31 billion, and unit sales also declined, by 5.0%, or 2.71 billion, during the same 52-week period of 2018.</w:t>
      </w:r>
    </w:p>
    <w:p w14:paraId="4E99BE78" w14:textId="77777777" w:rsidR="001B4ADA" w:rsidRPr="006E1187" w:rsidRDefault="001B4ADA" w:rsidP="003F0423">
      <w:pPr>
        <w:pStyle w:val="Header"/>
        <w:contextualSpacing/>
        <w:jc w:val="center"/>
        <w:rPr>
          <w:rFonts w:ascii="Verdana" w:hAnsi="Verdana"/>
          <w:b/>
          <w:sz w:val="20"/>
          <w:szCs w:val="20"/>
        </w:rPr>
      </w:pPr>
    </w:p>
    <w:p w14:paraId="05D26487" w14:textId="56607C9F" w:rsidR="003F0423" w:rsidRPr="006E1187" w:rsidRDefault="003F0423" w:rsidP="003F0423">
      <w:pPr>
        <w:pStyle w:val="Header"/>
        <w:contextualSpacing/>
        <w:jc w:val="center"/>
        <w:rPr>
          <w:rFonts w:ascii="Verdana" w:hAnsi="Verdana"/>
          <w:b/>
          <w:sz w:val="20"/>
          <w:szCs w:val="20"/>
        </w:rPr>
      </w:pPr>
      <w:r w:rsidRPr="006E1187">
        <w:rPr>
          <w:rFonts w:ascii="Verdana" w:hAnsi="Verdana"/>
          <w:b/>
          <w:sz w:val="20"/>
          <w:szCs w:val="20"/>
        </w:rPr>
        <w:t>Whole Milk</w:t>
      </w:r>
      <w:r w:rsidR="008E46FD" w:rsidRPr="006E1187">
        <w:rPr>
          <w:rFonts w:ascii="Verdana" w:hAnsi="Verdana"/>
          <w:b/>
          <w:sz w:val="20"/>
          <w:szCs w:val="20"/>
        </w:rPr>
        <w:t xml:space="preserve"> Sub-Category’s</w:t>
      </w:r>
      <w:r w:rsidRPr="006E1187">
        <w:rPr>
          <w:rFonts w:ascii="Verdana" w:hAnsi="Verdana"/>
          <w:b/>
          <w:sz w:val="20"/>
          <w:szCs w:val="20"/>
        </w:rPr>
        <w:t xml:space="preserve"> Dollars Sales*</w:t>
      </w:r>
    </w:p>
    <w:tbl>
      <w:tblPr>
        <w:tblW w:w="8445" w:type="dxa"/>
        <w:jc w:val="center"/>
        <w:tblBorders>
          <w:left w:val="single" w:sz="8" w:space="0" w:color="000000"/>
          <w:right w:val="single" w:sz="8" w:space="0" w:color="000000"/>
        </w:tblBorders>
        <w:tblLayout w:type="fixed"/>
        <w:tblLook w:val="0000" w:firstRow="0" w:lastRow="0" w:firstColumn="0" w:lastColumn="0" w:noHBand="0" w:noVBand="0"/>
      </w:tblPr>
      <w:tblGrid>
        <w:gridCol w:w="1890"/>
        <w:gridCol w:w="1170"/>
        <w:gridCol w:w="1170"/>
        <w:gridCol w:w="1875"/>
        <w:gridCol w:w="1170"/>
        <w:gridCol w:w="1170"/>
      </w:tblGrid>
      <w:tr w:rsidR="003F0423" w:rsidRPr="006E1187" w14:paraId="13AC25C1" w14:textId="77777777" w:rsidTr="00E3798E">
        <w:trPr>
          <w:jc w:val="center"/>
        </w:trPr>
        <w:tc>
          <w:tcPr>
            <w:tcW w:w="1890" w:type="dxa"/>
            <w:tcBorders>
              <w:top w:val="single" w:sz="12" w:space="0" w:color="000000"/>
              <w:left w:val="single" w:sz="12" w:space="0" w:color="000000"/>
              <w:bottom w:val="single" w:sz="18" w:space="0" w:color="000000"/>
              <w:right w:val="single" w:sz="12" w:space="0" w:color="auto"/>
            </w:tcBorders>
            <w:shd w:val="clear" w:color="auto" w:fill="auto"/>
            <w:vAlign w:val="center"/>
          </w:tcPr>
          <w:p w14:paraId="7367498F" w14:textId="77777777" w:rsidR="003F0423" w:rsidRPr="006E1187" w:rsidRDefault="003F0423" w:rsidP="00E3798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6E1187">
              <w:rPr>
                <w:rFonts w:ascii="Verdana" w:eastAsia="Times New Roman" w:hAnsi="Verdana"/>
                <w:sz w:val="20"/>
                <w:szCs w:val="20"/>
              </w:rPr>
              <w:t>Brand</w:t>
            </w:r>
          </w:p>
        </w:tc>
        <w:tc>
          <w:tcPr>
            <w:tcW w:w="1170" w:type="dxa"/>
            <w:tcBorders>
              <w:top w:val="single" w:sz="12" w:space="0" w:color="000000"/>
              <w:left w:val="single" w:sz="12" w:space="0" w:color="auto"/>
              <w:bottom w:val="single" w:sz="18" w:space="0" w:color="000000"/>
              <w:right w:val="single" w:sz="8" w:space="0" w:color="auto"/>
            </w:tcBorders>
            <w:vAlign w:val="center"/>
          </w:tcPr>
          <w:p w14:paraId="5C7DEDD5" w14:textId="77777777" w:rsidR="003F0423" w:rsidRPr="006E1187" w:rsidRDefault="003F042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auto"/>
              <w:bottom w:val="single" w:sz="18" w:space="0" w:color="000000"/>
              <w:right w:val="single" w:sz="18" w:space="0" w:color="auto"/>
            </w:tcBorders>
            <w:vAlign w:val="center"/>
          </w:tcPr>
          <w:p w14:paraId="6619DA05" w14:textId="77777777" w:rsidR="003F0423" w:rsidRPr="006E1187" w:rsidRDefault="003F042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Change</w:t>
            </w:r>
          </w:p>
        </w:tc>
        <w:tc>
          <w:tcPr>
            <w:tcW w:w="1875" w:type="dxa"/>
            <w:tcBorders>
              <w:top w:val="single" w:sz="12" w:space="0" w:color="000000"/>
              <w:left w:val="single" w:sz="18" w:space="0" w:color="auto"/>
              <w:bottom w:val="single" w:sz="18" w:space="0" w:color="000000"/>
              <w:right w:val="single" w:sz="12" w:space="0" w:color="auto"/>
            </w:tcBorders>
            <w:vAlign w:val="center"/>
          </w:tcPr>
          <w:p w14:paraId="08CDE343" w14:textId="77777777" w:rsidR="003F0423" w:rsidRPr="006E1187" w:rsidRDefault="003F042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Brand</w:t>
            </w:r>
          </w:p>
        </w:tc>
        <w:tc>
          <w:tcPr>
            <w:tcW w:w="1170" w:type="dxa"/>
            <w:tcBorders>
              <w:top w:val="single" w:sz="12" w:space="0" w:color="000000"/>
              <w:left w:val="single" w:sz="12" w:space="0" w:color="auto"/>
              <w:bottom w:val="single" w:sz="18" w:space="0" w:color="000000"/>
              <w:right w:val="single" w:sz="8" w:space="0" w:color="000000"/>
            </w:tcBorders>
            <w:vAlign w:val="center"/>
          </w:tcPr>
          <w:p w14:paraId="5D9434F7" w14:textId="77777777" w:rsidR="003F0423" w:rsidRPr="006E1187" w:rsidRDefault="003F042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000000"/>
              <w:bottom w:val="single" w:sz="18" w:space="0" w:color="000000"/>
              <w:right w:val="single" w:sz="12" w:space="0" w:color="000000"/>
            </w:tcBorders>
            <w:vAlign w:val="center"/>
          </w:tcPr>
          <w:p w14:paraId="19C0C757" w14:textId="77777777" w:rsidR="003F0423" w:rsidRPr="006E1187" w:rsidRDefault="003F042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Change</w:t>
            </w:r>
          </w:p>
        </w:tc>
      </w:tr>
      <w:tr w:rsidR="003F0423" w:rsidRPr="006E1187" w14:paraId="114ACFAE" w14:textId="77777777" w:rsidTr="00E3798E">
        <w:trPr>
          <w:jc w:val="center"/>
        </w:trPr>
        <w:tc>
          <w:tcPr>
            <w:tcW w:w="1890" w:type="dxa"/>
            <w:tcBorders>
              <w:top w:val="single" w:sz="18" w:space="0" w:color="000000"/>
              <w:left w:val="single" w:sz="12" w:space="0" w:color="000000"/>
              <w:bottom w:val="single" w:sz="4" w:space="0" w:color="000000"/>
              <w:right w:val="single" w:sz="12" w:space="0" w:color="auto"/>
            </w:tcBorders>
            <w:vAlign w:val="center"/>
          </w:tcPr>
          <w:p w14:paraId="4E312C16" w14:textId="77777777" w:rsidR="003F0423" w:rsidRPr="006E1187" w:rsidRDefault="003F042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Private label</w:t>
            </w:r>
          </w:p>
        </w:tc>
        <w:tc>
          <w:tcPr>
            <w:tcW w:w="1170" w:type="dxa"/>
            <w:tcBorders>
              <w:top w:val="single" w:sz="18" w:space="0" w:color="000000"/>
              <w:left w:val="single" w:sz="12" w:space="0" w:color="auto"/>
              <w:bottom w:val="single" w:sz="4" w:space="0" w:color="000000"/>
              <w:right w:val="single" w:sz="8" w:space="0" w:color="auto"/>
            </w:tcBorders>
            <w:vAlign w:val="center"/>
          </w:tcPr>
          <w:p w14:paraId="4F753310" w14:textId="26F7BABF"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$2.56 B</w:t>
            </w:r>
          </w:p>
        </w:tc>
        <w:tc>
          <w:tcPr>
            <w:tcW w:w="1170" w:type="dxa"/>
            <w:tcBorders>
              <w:top w:val="single" w:sz="18" w:space="0" w:color="000000"/>
              <w:left w:val="single" w:sz="8" w:space="0" w:color="auto"/>
              <w:bottom w:val="single" w:sz="4" w:space="0" w:color="000000"/>
              <w:right w:val="single" w:sz="18" w:space="0" w:color="auto"/>
            </w:tcBorders>
            <w:vAlign w:val="center"/>
          </w:tcPr>
          <w:p w14:paraId="5E34DC4E" w14:textId="25D6AA69"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-1.8%</w:t>
            </w:r>
          </w:p>
        </w:tc>
        <w:tc>
          <w:tcPr>
            <w:tcW w:w="1875" w:type="dxa"/>
            <w:tcBorders>
              <w:top w:val="single" w:sz="18" w:space="0" w:color="000000"/>
              <w:left w:val="single" w:sz="18" w:space="0" w:color="auto"/>
              <w:bottom w:val="single" w:sz="4" w:space="0" w:color="000000"/>
              <w:right w:val="single" w:sz="12" w:space="0" w:color="auto"/>
            </w:tcBorders>
            <w:vAlign w:val="center"/>
          </w:tcPr>
          <w:p w14:paraId="2CF480F7" w14:textId="6DA3FD8B" w:rsidR="003F0423" w:rsidRPr="006E1187" w:rsidRDefault="008E46FD"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Hiland</w:t>
            </w:r>
          </w:p>
        </w:tc>
        <w:tc>
          <w:tcPr>
            <w:tcW w:w="1170" w:type="dxa"/>
            <w:tcBorders>
              <w:top w:val="single" w:sz="18" w:space="0" w:color="000000"/>
              <w:left w:val="single" w:sz="12" w:space="0" w:color="auto"/>
              <w:bottom w:val="single" w:sz="4" w:space="0" w:color="000000"/>
              <w:right w:val="single" w:sz="8" w:space="0" w:color="000000"/>
            </w:tcBorders>
            <w:vAlign w:val="center"/>
          </w:tcPr>
          <w:p w14:paraId="3B045B66" w14:textId="691D30F3"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$95.1 M</w:t>
            </w:r>
          </w:p>
        </w:tc>
        <w:tc>
          <w:tcPr>
            <w:tcW w:w="1170" w:type="dxa"/>
            <w:tcBorders>
              <w:top w:val="single" w:sz="18" w:space="0" w:color="000000"/>
              <w:left w:val="single" w:sz="8" w:space="0" w:color="000000"/>
              <w:bottom w:val="single" w:sz="4" w:space="0" w:color="000000"/>
              <w:right w:val="single" w:sz="12" w:space="0" w:color="000000"/>
            </w:tcBorders>
            <w:vAlign w:val="center"/>
          </w:tcPr>
          <w:p w14:paraId="31331F76" w14:textId="468961F6"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-0.8%</w:t>
            </w:r>
          </w:p>
        </w:tc>
      </w:tr>
      <w:tr w:rsidR="003F0423" w:rsidRPr="006E1187" w14:paraId="4C4249DC" w14:textId="77777777" w:rsidTr="00E3798E">
        <w:trPr>
          <w:jc w:val="center"/>
        </w:trPr>
        <w:tc>
          <w:tcPr>
            <w:tcW w:w="1890" w:type="dxa"/>
            <w:tcBorders>
              <w:top w:val="single" w:sz="4" w:space="0" w:color="000000"/>
              <w:left w:val="single" w:sz="12" w:space="0" w:color="000000"/>
              <w:bottom w:val="single" w:sz="4" w:space="0" w:color="000000"/>
              <w:right w:val="single" w:sz="12" w:space="0" w:color="auto"/>
            </w:tcBorders>
            <w:vAlign w:val="center"/>
          </w:tcPr>
          <w:p w14:paraId="7E0E0991" w14:textId="361C0FC1" w:rsidR="003F0423" w:rsidRPr="006E1187" w:rsidRDefault="008E46FD"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DairyPure</w:t>
            </w:r>
          </w:p>
        </w:tc>
        <w:tc>
          <w:tcPr>
            <w:tcW w:w="1170" w:type="dxa"/>
            <w:tcBorders>
              <w:top w:val="single" w:sz="4" w:space="0" w:color="000000"/>
              <w:left w:val="single" w:sz="12" w:space="0" w:color="auto"/>
              <w:bottom w:val="single" w:sz="4" w:space="0" w:color="000000"/>
              <w:right w:val="single" w:sz="8" w:space="0" w:color="auto"/>
            </w:tcBorders>
            <w:vAlign w:val="center"/>
          </w:tcPr>
          <w:p w14:paraId="7B920B30" w14:textId="49225068"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sidRPr="006E1187">
              <w:rPr>
                <w:rFonts w:ascii="Verdana" w:eastAsia="Times New Roman" w:hAnsi="Verdana"/>
                <w:sz w:val="20"/>
                <w:szCs w:val="20"/>
              </w:rPr>
              <w:t>$619.9 M</w:t>
            </w:r>
          </w:p>
        </w:tc>
        <w:tc>
          <w:tcPr>
            <w:tcW w:w="1170" w:type="dxa"/>
            <w:tcBorders>
              <w:top w:val="single" w:sz="4" w:space="0" w:color="000000"/>
              <w:left w:val="single" w:sz="8" w:space="0" w:color="auto"/>
              <w:bottom w:val="single" w:sz="4" w:space="0" w:color="000000"/>
              <w:right w:val="single" w:sz="18" w:space="0" w:color="auto"/>
            </w:tcBorders>
            <w:vAlign w:val="center"/>
          </w:tcPr>
          <w:p w14:paraId="2CC43909" w14:textId="599C05DA"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-2.1%</w:t>
            </w:r>
          </w:p>
        </w:tc>
        <w:tc>
          <w:tcPr>
            <w:tcW w:w="1875" w:type="dxa"/>
            <w:tcBorders>
              <w:top w:val="single" w:sz="4" w:space="0" w:color="000000"/>
              <w:left w:val="single" w:sz="18" w:space="0" w:color="auto"/>
              <w:bottom w:val="single" w:sz="4" w:space="0" w:color="000000"/>
              <w:right w:val="single" w:sz="12" w:space="0" w:color="auto"/>
            </w:tcBorders>
            <w:vAlign w:val="center"/>
          </w:tcPr>
          <w:p w14:paraId="7ECCC6D6" w14:textId="54BB63EA" w:rsidR="003F0423" w:rsidRPr="006E1187" w:rsidRDefault="008E46FD"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Organic Valley</w:t>
            </w:r>
          </w:p>
        </w:tc>
        <w:tc>
          <w:tcPr>
            <w:tcW w:w="1170" w:type="dxa"/>
            <w:tcBorders>
              <w:top w:val="single" w:sz="4" w:space="0" w:color="000000"/>
              <w:left w:val="single" w:sz="12" w:space="0" w:color="auto"/>
              <w:bottom w:val="single" w:sz="4" w:space="0" w:color="000000"/>
              <w:right w:val="single" w:sz="8" w:space="0" w:color="000000"/>
            </w:tcBorders>
            <w:vAlign w:val="center"/>
          </w:tcPr>
          <w:p w14:paraId="10F50545" w14:textId="7398BABE" w:rsidR="003F0423" w:rsidRPr="006E1187" w:rsidRDefault="008E46FD" w:rsidP="00E3798E">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sidRPr="006E1187">
              <w:rPr>
                <w:rFonts w:ascii="Verdana" w:eastAsia="Times New Roman" w:hAnsi="Verdana"/>
                <w:sz w:val="20"/>
                <w:szCs w:val="20"/>
              </w:rPr>
              <w:t>$66.2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22D7CF8E" w14:textId="371BC9C1" w:rsidR="003F0423" w:rsidRPr="006E1187" w:rsidRDefault="008E46FD" w:rsidP="00E3798E">
            <w:pPr>
              <w:widowControl w:val="0"/>
              <w:tabs>
                <w:tab w:val="left" w:pos="220"/>
                <w:tab w:val="left" w:pos="720"/>
              </w:tabs>
              <w:autoSpaceDE w:val="0"/>
              <w:autoSpaceDN w:val="0"/>
              <w:adjustRightInd w:val="0"/>
              <w:spacing w:after="0" w:line="240" w:lineRule="auto"/>
              <w:ind w:left="36"/>
              <w:contextualSpacing/>
              <w:jc w:val="right"/>
              <w:rPr>
                <w:rFonts w:ascii="Verdana" w:eastAsia="Times New Roman" w:hAnsi="Verdana"/>
                <w:sz w:val="20"/>
                <w:szCs w:val="20"/>
              </w:rPr>
            </w:pPr>
            <w:r w:rsidRPr="006E1187">
              <w:rPr>
                <w:rFonts w:ascii="Verdana" w:eastAsia="Times New Roman" w:hAnsi="Verdana"/>
                <w:sz w:val="20"/>
                <w:szCs w:val="20"/>
              </w:rPr>
              <w:t>+5.5%</w:t>
            </w:r>
          </w:p>
        </w:tc>
      </w:tr>
      <w:tr w:rsidR="003F0423" w:rsidRPr="006E1187" w14:paraId="674C7F30" w14:textId="77777777" w:rsidTr="00E3798E">
        <w:trPr>
          <w:jc w:val="center"/>
        </w:trPr>
        <w:tc>
          <w:tcPr>
            <w:tcW w:w="1890" w:type="dxa"/>
            <w:tcBorders>
              <w:top w:val="single" w:sz="4" w:space="0" w:color="000000"/>
              <w:left w:val="single" w:sz="12" w:space="0" w:color="000000"/>
              <w:bottom w:val="single" w:sz="4" w:space="0" w:color="000000"/>
              <w:right w:val="single" w:sz="12" w:space="0" w:color="auto"/>
            </w:tcBorders>
            <w:vAlign w:val="center"/>
          </w:tcPr>
          <w:p w14:paraId="26185D82" w14:textId="5337ABB9" w:rsidR="003F0423" w:rsidRPr="006E1187" w:rsidRDefault="008E46FD"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Horizon Organic</w:t>
            </w:r>
          </w:p>
        </w:tc>
        <w:tc>
          <w:tcPr>
            <w:tcW w:w="1170" w:type="dxa"/>
            <w:tcBorders>
              <w:top w:val="single" w:sz="4" w:space="0" w:color="000000"/>
              <w:left w:val="single" w:sz="12" w:space="0" w:color="auto"/>
              <w:bottom w:val="single" w:sz="4" w:space="0" w:color="000000"/>
              <w:right w:val="single" w:sz="8" w:space="0" w:color="auto"/>
            </w:tcBorders>
            <w:vAlign w:val="center"/>
          </w:tcPr>
          <w:p w14:paraId="0FC7FCE0" w14:textId="12118DAC"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$233.5 M</w:t>
            </w:r>
          </w:p>
        </w:tc>
        <w:tc>
          <w:tcPr>
            <w:tcW w:w="1170" w:type="dxa"/>
            <w:tcBorders>
              <w:top w:val="single" w:sz="4" w:space="0" w:color="000000"/>
              <w:left w:val="single" w:sz="8" w:space="0" w:color="auto"/>
              <w:bottom w:val="single" w:sz="4" w:space="0" w:color="000000"/>
              <w:right w:val="single" w:sz="18" w:space="0" w:color="auto"/>
            </w:tcBorders>
            <w:vAlign w:val="center"/>
          </w:tcPr>
          <w:p w14:paraId="063CDD25" w14:textId="19676EF4"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+0.6%</w:t>
            </w:r>
          </w:p>
        </w:tc>
        <w:tc>
          <w:tcPr>
            <w:tcW w:w="1875" w:type="dxa"/>
            <w:tcBorders>
              <w:top w:val="single" w:sz="4" w:space="0" w:color="000000"/>
              <w:left w:val="single" w:sz="18" w:space="0" w:color="auto"/>
              <w:bottom w:val="single" w:sz="4" w:space="0" w:color="000000"/>
              <w:right w:val="single" w:sz="12" w:space="0" w:color="auto"/>
            </w:tcBorders>
            <w:vAlign w:val="center"/>
          </w:tcPr>
          <w:p w14:paraId="67FC77A8" w14:textId="5D7470A3" w:rsidR="003F0423" w:rsidRPr="006E1187" w:rsidRDefault="008E46FD"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Fairlife</w:t>
            </w:r>
          </w:p>
        </w:tc>
        <w:tc>
          <w:tcPr>
            <w:tcW w:w="1170" w:type="dxa"/>
            <w:tcBorders>
              <w:top w:val="single" w:sz="4" w:space="0" w:color="000000"/>
              <w:left w:val="single" w:sz="12" w:space="0" w:color="auto"/>
              <w:bottom w:val="single" w:sz="4" w:space="0" w:color="000000"/>
              <w:right w:val="single" w:sz="8" w:space="0" w:color="000000"/>
            </w:tcBorders>
            <w:vAlign w:val="center"/>
          </w:tcPr>
          <w:p w14:paraId="5B87501B" w14:textId="7E71E305"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$51.7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7119011C" w14:textId="6A506D16"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+54.7%</w:t>
            </w:r>
          </w:p>
        </w:tc>
      </w:tr>
      <w:tr w:rsidR="003F0423" w:rsidRPr="006E1187" w14:paraId="131FEB91" w14:textId="77777777" w:rsidTr="00E3798E">
        <w:trPr>
          <w:jc w:val="center"/>
        </w:trPr>
        <w:tc>
          <w:tcPr>
            <w:tcW w:w="1890" w:type="dxa"/>
            <w:tcBorders>
              <w:top w:val="single" w:sz="4" w:space="0" w:color="000000"/>
              <w:left w:val="single" w:sz="12" w:space="0" w:color="000000"/>
              <w:bottom w:val="single" w:sz="4" w:space="0" w:color="000000"/>
              <w:right w:val="single" w:sz="12" w:space="0" w:color="auto"/>
            </w:tcBorders>
            <w:vAlign w:val="center"/>
          </w:tcPr>
          <w:p w14:paraId="7CB8438E" w14:textId="16C33759" w:rsidR="003F0423" w:rsidRPr="006E1187" w:rsidRDefault="008E46FD"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Hood Lactaid</w:t>
            </w:r>
          </w:p>
        </w:tc>
        <w:tc>
          <w:tcPr>
            <w:tcW w:w="1170" w:type="dxa"/>
            <w:tcBorders>
              <w:top w:val="single" w:sz="4" w:space="0" w:color="000000"/>
              <w:left w:val="single" w:sz="12" w:space="0" w:color="auto"/>
              <w:bottom w:val="single" w:sz="4" w:space="0" w:color="000000"/>
              <w:right w:val="single" w:sz="8" w:space="0" w:color="auto"/>
            </w:tcBorders>
            <w:vAlign w:val="center"/>
          </w:tcPr>
          <w:p w14:paraId="440486BD" w14:textId="49EB1915"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$149.7 M</w:t>
            </w:r>
          </w:p>
        </w:tc>
        <w:tc>
          <w:tcPr>
            <w:tcW w:w="1170" w:type="dxa"/>
            <w:tcBorders>
              <w:top w:val="single" w:sz="4" w:space="0" w:color="000000"/>
              <w:left w:val="single" w:sz="8" w:space="0" w:color="auto"/>
              <w:bottom w:val="single" w:sz="4" w:space="0" w:color="000000"/>
              <w:right w:val="single" w:sz="18" w:space="0" w:color="auto"/>
            </w:tcBorders>
            <w:vAlign w:val="center"/>
          </w:tcPr>
          <w:p w14:paraId="7CB1C6B7" w14:textId="7BE0A19D"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+12.5%</w:t>
            </w:r>
          </w:p>
        </w:tc>
        <w:tc>
          <w:tcPr>
            <w:tcW w:w="1875" w:type="dxa"/>
            <w:tcBorders>
              <w:top w:val="single" w:sz="4" w:space="0" w:color="000000"/>
              <w:left w:val="single" w:sz="18" w:space="0" w:color="auto"/>
              <w:bottom w:val="single" w:sz="4" w:space="0" w:color="000000"/>
              <w:right w:val="single" w:sz="12" w:space="0" w:color="auto"/>
            </w:tcBorders>
            <w:vAlign w:val="center"/>
          </w:tcPr>
          <w:p w14:paraId="4B215450" w14:textId="7E652F1F" w:rsidR="003F0423" w:rsidRPr="006E1187" w:rsidRDefault="00320EFB"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Hood</w:t>
            </w:r>
          </w:p>
        </w:tc>
        <w:tc>
          <w:tcPr>
            <w:tcW w:w="1170" w:type="dxa"/>
            <w:tcBorders>
              <w:top w:val="single" w:sz="4" w:space="0" w:color="000000"/>
              <w:left w:val="single" w:sz="12" w:space="0" w:color="auto"/>
              <w:bottom w:val="single" w:sz="4" w:space="0" w:color="000000"/>
              <w:right w:val="single" w:sz="8" w:space="0" w:color="000000"/>
            </w:tcBorders>
            <w:vAlign w:val="center"/>
          </w:tcPr>
          <w:p w14:paraId="58AC6863" w14:textId="24C0C636" w:rsidR="003F0423" w:rsidRPr="006E1187" w:rsidRDefault="008E46FD" w:rsidP="00E3798E">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sidRPr="006E1187">
              <w:rPr>
                <w:rFonts w:ascii="Verdana" w:eastAsia="Times New Roman" w:hAnsi="Verdana"/>
                <w:sz w:val="20"/>
                <w:szCs w:val="20"/>
              </w:rPr>
              <w:t>$46.8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692D8A4F" w14:textId="7578D3B6" w:rsidR="003F0423" w:rsidRPr="006E1187" w:rsidRDefault="008E46FD" w:rsidP="00E3798E">
            <w:pPr>
              <w:widowControl w:val="0"/>
              <w:tabs>
                <w:tab w:val="left" w:pos="220"/>
                <w:tab w:val="left" w:pos="720"/>
              </w:tabs>
              <w:autoSpaceDE w:val="0"/>
              <w:autoSpaceDN w:val="0"/>
              <w:adjustRightInd w:val="0"/>
              <w:spacing w:after="0" w:line="240" w:lineRule="auto"/>
              <w:ind w:left="66"/>
              <w:contextualSpacing/>
              <w:jc w:val="right"/>
              <w:rPr>
                <w:rFonts w:ascii="Verdana" w:eastAsia="Times New Roman" w:hAnsi="Verdana"/>
                <w:sz w:val="20"/>
                <w:szCs w:val="20"/>
              </w:rPr>
            </w:pPr>
            <w:r w:rsidRPr="006E1187">
              <w:rPr>
                <w:rFonts w:ascii="Verdana" w:eastAsia="Times New Roman" w:hAnsi="Verdana"/>
                <w:sz w:val="20"/>
                <w:szCs w:val="20"/>
              </w:rPr>
              <w:t>-3.8%</w:t>
            </w:r>
          </w:p>
        </w:tc>
      </w:tr>
      <w:tr w:rsidR="00320EFB" w:rsidRPr="006E1187" w14:paraId="11914574" w14:textId="77777777" w:rsidTr="00E3798E">
        <w:trPr>
          <w:jc w:val="center"/>
        </w:trPr>
        <w:tc>
          <w:tcPr>
            <w:tcW w:w="1890" w:type="dxa"/>
            <w:tcBorders>
              <w:top w:val="single" w:sz="4" w:space="0" w:color="000000"/>
              <w:left w:val="single" w:sz="12" w:space="0" w:color="000000"/>
              <w:bottom w:val="single" w:sz="4" w:space="0" w:color="000000"/>
              <w:right w:val="single" w:sz="12" w:space="0" w:color="auto"/>
            </w:tcBorders>
            <w:vAlign w:val="center"/>
          </w:tcPr>
          <w:p w14:paraId="4A9CDE9C" w14:textId="481BBF63" w:rsidR="003F0423" w:rsidRPr="006E1187" w:rsidRDefault="008E46FD"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Borden</w:t>
            </w:r>
          </w:p>
        </w:tc>
        <w:tc>
          <w:tcPr>
            <w:tcW w:w="1170" w:type="dxa"/>
            <w:tcBorders>
              <w:top w:val="single" w:sz="4" w:space="0" w:color="000000"/>
              <w:left w:val="single" w:sz="12" w:space="0" w:color="auto"/>
              <w:bottom w:val="single" w:sz="4" w:space="0" w:color="000000"/>
              <w:right w:val="single" w:sz="8" w:space="0" w:color="auto"/>
            </w:tcBorders>
            <w:vAlign w:val="center"/>
          </w:tcPr>
          <w:p w14:paraId="7F14E4B4" w14:textId="47ADDA37"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$110.9 M</w:t>
            </w:r>
          </w:p>
        </w:tc>
        <w:tc>
          <w:tcPr>
            <w:tcW w:w="1170" w:type="dxa"/>
            <w:tcBorders>
              <w:top w:val="single" w:sz="4" w:space="0" w:color="000000"/>
              <w:left w:val="single" w:sz="8" w:space="0" w:color="auto"/>
              <w:bottom w:val="single" w:sz="4" w:space="0" w:color="000000"/>
              <w:right w:val="single" w:sz="18" w:space="0" w:color="auto"/>
            </w:tcBorders>
            <w:vAlign w:val="center"/>
          </w:tcPr>
          <w:p w14:paraId="5F96CC05" w14:textId="50290196"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+7.1%</w:t>
            </w:r>
          </w:p>
        </w:tc>
        <w:tc>
          <w:tcPr>
            <w:tcW w:w="1875" w:type="dxa"/>
            <w:tcBorders>
              <w:top w:val="single" w:sz="4" w:space="0" w:color="000000"/>
              <w:left w:val="single" w:sz="18" w:space="0" w:color="auto"/>
              <w:bottom w:val="single" w:sz="4" w:space="0" w:color="000000"/>
              <w:right w:val="single" w:sz="12" w:space="0" w:color="auto"/>
            </w:tcBorders>
            <w:vAlign w:val="center"/>
          </w:tcPr>
          <w:p w14:paraId="371DB4C2" w14:textId="77777777" w:rsidR="003F0423" w:rsidRPr="006E1187" w:rsidRDefault="003F0423"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Total category</w:t>
            </w:r>
          </w:p>
        </w:tc>
        <w:tc>
          <w:tcPr>
            <w:tcW w:w="1170" w:type="dxa"/>
            <w:tcBorders>
              <w:top w:val="single" w:sz="4" w:space="0" w:color="000000"/>
              <w:left w:val="single" w:sz="12" w:space="0" w:color="auto"/>
              <w:bottom w:val="single" w:sz="4" w:space="0" w:color="000000"/>
              <w:right w:val="single" w:sz="8" w:space="0" w:color="000000"/>
            </w:tcBorders>
            <w:vAlign w:val="center"/>
          </w:tcPr>
          <w:p w14:paraId="09AC4142" w14:textId="5AFA7229"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$4.75 B</w:t>
            </w:r>
          </w:p>
        </w:tc>
        <w:tc>
          <w:tcPr>
            <w:tcW w:w="1170" w:type="dxa"/>
            <w:tcBorders>
              <w:top w:val="single" w:sz="4" w:space="0" w:color="000000"/>
              <w:left w:val="single" w:sz="8" w:space="0" w:color="000000"/>
              <w:bottom w:val="single" w:sz="4" w:space="0" w:color="000000"/>
              <w:right w:val="single" w:sz="12" w:space="0" w:color="000000"/>
            </w:tcBorders>
            <w:vAlign w:val="center"/>
          </w:tcPr>
          <w:p w14:paraId="30503F18" w14:textId="3648CB29"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-1.1%</w:t>
            </w:r>
          </w:p>
        </w:tc>
      </w:tr>
      <w:tr w:rsidR="003F0423" w:rsidRPr="006E1187" w14:paraId="4BE568DF" w14:textId="77777777" w:rsidTr="00E3798E">
        <w:trPr>
          <w:jc w:val="center"/>
        </w:trPr>
        <w:tc>
          <w:tcPr>
            <w:tcW w:w="1890" w:type="dxa"/>
            <w:tcBorders>
              <w:top w:val="single" w:sz="4" w:space="0" w:color="000000"/>
              <w:left w:val="single" w:sz="12" w:space="0" w:color="000000"/>
              <w:bottom w:val="single" w:sz="12" w:space="0" w:color="000000"/>
              <w:right w:val="single" w:sz="12" w:space="0" w:color="auto"/>
            </w:tcBorders>
            <w:vAlign w:val="center"/>
          </w:tcPr>
          <w:p w14:paraId="0D221C6E" w14:textId="6C9E9630" w:rsidR="003F0423" w:rsidRPr="006E1187" w:rsidRDefault="008E46FD"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Prairie Farms</w:t>
            </w:r>
          </w:p>
        </w:tc>
        <w:tc>
          <w:tcPr>
            <w:tcW w:w="1170" w:type="dxa"/>
            <w:tcBorders>
              <w:top w:val="single" w:sz="4" w:space="0" w:color="000000"/>
              <w:left w:val="single" w:sz="12" w:space="0" w:color="auto"/>
              <w:bottom w:val="single" w:sz="12" w:space="0" w:color="000000"/>
              <w:right w:val="single" w:sz="8" w:space="0" w:color="auto"/>
            </w:tcBorders>
            <w:vAlign w:val="center"/>
          </w:tcPr>
          <w:p w14:paraId="70A95EA8" w14:textId="6328F658"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$101.9 M</w:t>
            </w:r>
          </w:p>
        </w:tc>
        <w:tc>
          <w:tcPr>
            <w:tcW w:w="1170" w:type="dxa"/>
            <w:tcBorders>
              <w:top w:val="single" w:sz="4" w:space="0" w:color="000000"/>
              <w:left w:val="single" w:sz="8" w:space="0" w:color="auto"/>
              <w:bottom w:val="single" w:sz="12" w:space="0" w:color="000000"/>
              <w:right w:val="single" w:sz="18" w:space="0" w:color="auto"/>
            </w:tcBorders>
            <w:vAlign w:val="center"/>
          </w:tcPr>
          <w:p w14:paraId="2CA143CD" w14:textId="20C9400A" w:rsidR="003F0423" w:rsidRPr="006E1187" w:rsidRDefault="008E46FD"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-2.6%</w:t>
            </w:r>
          </w:p>
        </w:tc>
        <w:tc>
          <w:tcPr>
            <w:tcW w:w="1875" w:type="dxa"/>
            <w:tcBorders>
              <w:top w:val="single" w:sz="4" w:space="0" w:color="000000"/>
              <w:left w:val="single" w:sz="18" w:space="0" w:color="auto"/>
              <w:bottom w:val="single" w:sz="12" w:space="0" w:color="000000"/>
              <w:right w:val="single" w:sz="12" w:space="0" w:color="auto"/>
            </w:tcBorders>
            <w:shd w:val="clear" w:color="auto" w:fill="D9D9D9" w:themeFill="background1" w:themeFillShade="D9"/>
            <w:vAlign w:val="center"/>
          </w:tcPr>
          <w:p w14:paraId="41B2D12F" w14:textId="77777777" w:rsidR="003F0423" w:rsidRPr="006E1187" w:rsidRDefault="003F0423"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p>
        </w:tc>
        <w:tc>
          <w:tcPr>
            <w:tcW w:w="1170" w:type="dxa"/>
            <w:tcBorders>
              <w:top w:val="single" w:sz="4" w:space="0" w:color="000000"/>
              <w:left w:val="single" w:sz="12" w:space="0" w:color="auto"/>
              <w:bottom w:val="single" w:sz="12" w:space="0" w:color="000000"/>
              <w:right w:val="single" w:sz="8" w:space="0" w:color="000000"/>
            </w:tcBorders>
            <w:shd w:val="clear" w:color="auto" w:fill="D9D9D9" w:themeFill="background1" w:themeFillShade="D9"/>
          </w:tcPr>
          <w:p w14:paraId="040FDD62" w14:textId="77777777" w:rsidR="003F0423" w:rsidRPr="006E1187" w:rsidRDefault="003F0423"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c>
          <w:tcPr>
            <w:tcW w:w="1170" w:type="dxa"/>
            <w:tcBorders>
              <w:top w:val="single" w:sz="4" w:space="0" w:color="000000"/>
              <w:left w:val="single" w:sz="8" w:space="0" w:color="000000"/>
              <w:bottom w:val="single" w:sz="12" w:space="0" w:color="000000"/>
              <w:right w:val="single" w:sz="12" w:space="0" w:color="000000"/>
            </w:tcBorders>
            <w:shd w:val="clear" w:color="auto" w:fill="D9D9D9" w:themeFill="background1" w:themeFillShade="D9"/>
            <w:vAlign w:val="center"/>
          </w:tcPr>
          <w:p w14:paraId="6FAC9BE4" w14:textId="77777777" w:rsidR="003F0423" w:rsidRPr="006E1187" w:rsidRDefault="003F0423"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r>
    </w:tbl>
    <w:p w14:paraId="10CB6010" w14:textId="4D08E6F3" w:rsidR="008F34D5" w:rsidRPr="00E3798E" w:rsidRDefault="008F34D5" w:rsidP="00E3798E">
      <w:pPr>
        <w:tabs>
          <w:tab w:val="left" w:pos="450"/>
        </w:tabs>
        <w:spacing w:after="0" w:line="240" w:lineRule="auto"/>
        <w:contextualSpacing/>
        <w:mirrorIndents/>
        <w:rPr>
          <w:rFonts w:ascii="Verdana" w:hAnsi="Verdana"/>
          <w:sz w:val="16"/>
          <w:szCs w:val="16"/>
        </w:rPr>
      </w:pPr>
      <w:r w:rsidRPr="006E1187">
        <w:rPr>
          <w:rFonts w:ascii="Verdana" w:hAnsi="Verdana"/>
          <w:i/>
          <w:sz w:val="16"/>
          <w:szCs w:val="16"/>
        </w:rPr>
        <w:tab/>
      </w:r>
      <w:r w:rsidR="003F0423" w:rsidRPr="006E1187">
        <w:rPr>
          <w:rFonts w:ascii="Verdana" w:hAnsi="Verdana"/>
          <w:i/>
          <w:sz w:val="16"/>
          <w:szCs w:val="16"/>
        </w:rPr>
        <w:t>Dairy Foods</w:t>
      </w:r>
      <w:r w:rsidR="003F0423" w:rsidRPr="006E1187">
        <w:rPr>
          <w:rFonts w:ascii="Verdana" w:hAnsi="Verdana"/>
          <w:sz w:val="16"/>
          <w:szCs w:val="16"/>
        </w:rPr>
        <w:t>, November 2018</w:t>
      </w:r>
      <w:r w:rsidR="003F0423" w:rsidRPr="006E1187">
        <w:rPr>
          <w:rFonts w:ascii="Verdana" w:hAnsi="Verdana"/>
          <w:sz w:val="16"/>
          <w:szCs w:val="16"/>
        </w:rPr>
        <w:tab/>
      </w:r>
      <w:r w:rsidR="003F0423" w:rsidRPr="006E1187">
        <w:rPr>
          <w:rFonts w:ascii="Verdana" w:hAnsi="Verdana"/>
          <w:sz w:val="16"/>
          <w:szCs w:val="16"/>
        </w:rPr>
        <w:tab/>
      </w:r>
      <w:r w:rsidR="003F0423" w:rsidRPr="006E1187">
        <w:rPr>
          <w:rFonts w:ascii="Verdana" w:hAnsi="Verdana"/>
          <w:sz w:val="16"/>
          <w:szCs w:val="16"/>
        </w:rPr>
        <w:tab/>
      </w:r>
      <w:r w:rsidR="003F0423" w:rsidRPr="006E1187">
        <w:rPr>
          <w:rFonts w:ascii="Verdana" w:hAnsi="Verdana"/>
          <w:sz w:val="16"/>
          <w:szCs w:val="16"/>
        </w:rPr>
        <w:tab/>
      </w:r>
      <w:r w:rsidR="003F0423" w:rsidRPr="006E1187">
        <w:rPr>
          <w:rFonts w:ascii="Verdana" w:hAnsi="Verdana"/>
          <w:sz w:val="16"/>
          <w:szCs w:val="16"/>
        </w:rPr>
        <w:tab/>
        <w:t>*for 52 weeks ending August 12, 2018</w:t>
      </w:r>
    </w:p>
    <w:p w14:paraId="666C376A" w14:textId="1E07155D" w:rsidR="007B1A70" w:rsidRPr="006E1187" w:rsidRDefault="007B1A70" w:rsidP="008E46FD">
      <w:pPr>
        <w:spacing w:after="0" w:line="240" w:lineRule="auto"/>
        <w:contextualSpacing/>
        <w:mirrorIndents/>
        <w:jc w:val="center"/>
        <w:rPr>
          <w:rFonts w:ascii="Verdana" w:hAnsi="Verdana"/>
          <w:b/>
          <w:color w:val="0070C0"/>
          <w:sz w:val="20"/>
          <w:szCs w:val="20"/>
        </w:rPr>
      </w:pPr>
      <w:r w:rsidRPr="006E1187">
        <w:rPr>
          <w:rFonts w:ascii="Verdana" w:hAnsi="Verdana"/>
          <w:b/>
          <w:color w:val="0070C0"/>
          <w:sz w:val="20"/>
          <w:szCs w:val="20"/>
        </w:rPr>
        <w:lastRenderedPageBreak/>
        <w:t>A Crowded Cheese Market Responds to Consumer Preferences</w:t>
      </w:r>
    </w:p>
    <w:p w14:paraId="6096C342" w14:textId="6959A1C3" w:rsidR="007B1A70" w:rsidRPr="006E1187" w:rsidRDefault="007B1A70" w:rsidP="007B1A70">
      <w:pPr>
        <w:spacing w:after="0" w:line="240" w:lineRule="auto"/>
        <w:contextualSpacing/>
        <w:mirrorIndents/>
        <w:rPr>
          <w:rFonts w:ascii="Verdana" w:hAnsi="Verdana"/>
          <w:sz w:val="20"/>
          <w:szCs w:val="20"/>
        </w:rPr>
      </w:pPr>
    </w:p>
    <w:p w14:paraId="2E9FA88E" w14:textId="43262A7D" w:rsidR="009705BE" w:rsidRPr="006E1187" w:rsidRDefault="009705BE" w:rsidP="009705BE">
      <w:pPr>
        <w:pStyle w:val="ListParagraph"/>
        <w:numPr>
          <w:ilvl w:val="0"/>
          <w:numId w:val="4"/>
        </w:numPr>
        <w:spacing w:after="0" w:line="240" w:lineRule="auto"/>
        <w:mirrorIndents/>
        <w:rPr>
          <w:rFonts w:ascii="Verdana" w:hAnsi="Verdana"/>
          <w:sz w:val="20"/>
          <w:szCs w:val="20"/>
        </w:rPr>
      </w:pPr>
      <w:r w:rsidRPr="00E3798E">
        <w:rPr>
          <w:rFonts w:ascii="Verdana" w:hAnsi="Verdana"/>
          <w:i/>
          <w:sz w:val="20"/>
          <w:szCs w:val="20"/>
        </w:rPr>
        <w:t>D</w:t>
      </w:r>
      <w:r w:rsidR="00320EFB" w:rsidRPr="00E3798E">
        <w:rPr>
          <w:rFonts w:ascii="Verdana" w:hAnsi="Verdana"/>
          <w:i/>
          <w:sz w:val="20"/>
          <w:szCs w:val="20"/>
        </w:rPr>
        <w:t>ai</w:t>
      </w:r>
      <w:r w:rsidRPr="00E3798E">
        <w:rPr>
          <w:rFonts w:ascii="Verdana" w:hAnsi="Verdana"/>
          <w:i/>
          <w:sz w:val="20"/>
          <w:szCs w:val="20"/>
        </w:rPr>
        <w:t>ry Foods</w:t>
      </w:r>
      <w:r w:rsidRPr="006E1187">
        <w:rPr>
          <w:rFonts w:ascii="Verdana" w:hAnsi="Verdana"/>
          <w:sz w:val="20"/>
          <w:szCs w:val="20"/>
        </w:rPr>
        <w:t xml:space="preserve"> report</w:t>
      </w:r>
      <w:r w:rsidR="00320EFB" w:rsidRPr="006E1187">
        <w:rPr>
          <w:rFonts w:ascii="Verdana" w:hAnsi="Verdana"/>
          <w:sz w:val="20"/>
          <w:szCs w:val="20"/>
        </w:rPr>
        <w:t>ed in its November 2018 issue that dollar sales for natural cheese brands increase 1.0% to $12.9 billion for the 52 weeks ending August 12, 2018, as convenience is consumers’ top preference, especially among snacking cheeses.</w:t>
      </w:r>
    </w:p>
    <w:p w14:paraId="4D709ADF" w14:textId="77777777" w:rsidR="008E46FD" w:rsidRPr="006E1187" w:rsidRDefault="008E46FD" w:rsidP="007B1A70">
      <w:pPr>
        <w:spacing w:after="0" w:line="240" w:lineRule="auto"/>
        <w:contextualSpacing/>
        <w:mirrorIndents/>
        <w:rPr>
          <w:rFonts w:ascii="Verdana" w:hAnsi="Verdana"/>
          <w:sz w:val="20"/>
          <w:szCs w:val="20"/>
        </w:rPr>
      </w:pPr>
    </w:p>
    <w:p w14:paraId="2CC20B4B" w14:textId="2A38D6E0" w:rsidR="008E46FD" w:rsidRPr="006E1187" w:rsidRDefault="00320EFB" w:rsidP="00320EFB">
      <w:pPr>
        <w:pStyle w:val="ListParagraph"/>
        <w:numPr>
          <w:ilvl w:val="0"/>
          <w:numId w:val="4"/>
        </w:numPr>
        <w:spacing w:after="0" w:line="240" w:lineRule="auto"/>
        <w:mirrorIndents/>
        <w:rPr>
          <w:rFonts w:ascii="Verdana" w:hAnsi="Verdana"/>
          <w:sz w:val="20"/>
          <w:szCs w:val="20"/>
        </w:rPr>
      </w:pPr>
      <w:r w:rsidRPr="006E1187">
        <w:rPr>
          <w:rFonts w:ascii="Verdana" w:hAnsi="Verdana"/>
          <w:sz w:val="20"/>
          <w:szCs w:val="20"/>
        </w:rPr>
        <w:t>Processed cheese did not perform as well; in fact, dollar sales decreased 3.1% to $2.9 billion and unit sales declined 4.1%.</w:t>
      </w:r>
    </w:p>
    <w:p w14:paraId="1F97B3FB" w14:textId="61982491" w:rsidR="008E46FD" w:rsidRPr="006E1187" w:rsidRDefault="008E46FD" w:rsidP="007B1A70">
      <w:pPr>
        <w:spacing w:after="0" w:line="240" w:lineRule="auto"/>
        <w:contextualSpacing/>
        <w:mirrorIndents/>
        <w:rPr>
          <w:rFonts w:ascii="Verdana" w:hAnsi="Verdana"/>
          <w:sz w:val="20"/>
          <w:szCs w:val="20"/>
        </w:rPr>
      </w:pPr>
    </w:p>
    <w:p w14:paraId="24BFBCAC" w14:textId="637EC244" w:rsidR="00320EFB" w:rsidRPr="006E1187" w:rsidRDefault="00320EFB" w:rsidP="00320EFB">
      <w:pPr>
        <w:pStyle w:val="ListParagraph"/>
        <w:numPr>
          <w:ilvl w:val="0"/>
          <w:numId w:val="4"/>
        </w:numPr>
        <w:spacing w:after="0" w:line="240" w:lineRule="auto"/>
        <w:mirrorIndents/>
        <w:rPr>
          <w:rFonts w:ascii="Verdana" w:hAnsi="Verdana"/>
          <w:sz w:val="20"/>
          <w:szCs w:val="20"/>
        </w:rPr>
      </w:pPr>
      <w:r w:rsidRPr="006E1187">
        <w:rPr>
          <w:rFonts w:ascii="Verdana" w:hAnsi="Verdana"/>
          <w:sz w:val="20"/>
          <w:szCs w:val="20"/>
        </w:rPr>
        <w:t xml:space="preserve">Despite slowing sales in the process cheese sub-category, Allied Market Research forecasts a CAGR of 2.8% from 2018 to 2025, with total sales during that </w:t>
      </w:r>
      <w:r w:rsidR="00741B21">
        <w:rPr>
          <w:rFonts w:ascii="Verdana" w:hAnsi="Verdana"/>
          <w:sz w:val="20"/>
          <w:szCs w:val="20"/>
        </w:rPr>
        <w:t xml:space="preserve">latter </w:t>
      </w:r>
      <w:r w:rsidRPr="006E1187">
        <w:rPr>
          <w:rFonts w:ascii="Verdana" w:hAnsi="Verdana"/>
          <w:sz w:val="20"/>
          <w:szCs w:val="20"/>
        </w:rPr>
        <w:t>year of $40.5 billion.</w:t>
      </w:r>
    </w:p>
    <w:p w14:paraId="1C364E0B" w14:textId="5D0EADAD" w:rsidR="00320EFB" w:rsidRPr="006E1187" w:rsidRDefault="00320EFB" w:rsidP="00320EFB">
      <w:pPr>
        <w:pStyle w:val="ListParagraph"/>
        <w:spacing w:after="0" w:line="240" w:lineRule="auto"/>
        <w:ind w:left="360"/>
        <w:mirrorIndents/>
        <w:rPr>
          <w:rFonts w:ascii="Verdana" w:hAnsi="Verdana"/>
          <w:sz w:val="20"/>
          <w:szCs w:val="20"/>
        </w:rPr>
      </w:pPr>
    </w:p>
    <w:p w14:paraId="1C81B860" w14:textId="1848807E" w:rsidR="00320EFB" w:rsidRPr="006E1187" w:rsidRDefault="00320EFB" w:rsidP="00320EFB">
      <w:pPr>
        <w:pStyle w:val="Header"/>
        <w:contextualSpacing/>
        <w:jc w:val="center"/>
        <w:rPr>
          <w:rFonts w:ascii="Verdana" w:hAnsi="Verdana"/>
          <w:b/>
          <w:sz w:val="20"/>
          <w:szCs w:val="20"/>
        </w:rPr>
      </w:pPr>
      <w:r w:rsidRPr="006E1187">
        <w:rPr>
          <w:rFonts w:ascii="Verdana" w:hAnsi="Verdana"/>
          <w:b/>
          <w:sz w:val="20"/>
          <w:szCs w:val="20"/>
        </w:rPr>
        <w:t>Natural Cheese Sub-Category’s Dollars Sales, by Type*</w:t>
      </w:r>
    </w:p>
    <w:tbl>
      <w:tblPr>
        <w:tblW w:w="9165" w:type="dxa"/>
        <w:jc w:val="center"/>
        <w:tblBorders>
          <w:left w:val="single" w:sz="8" w:space="0" w:color="000000"/>
          <w:right w:val="single" w:sz="8" w:space="0" w:color="000000"/>
        </w:tblBorders>
        <w:tblLayout w:type="fixed"/>
        <w:tblLook w:val="0000" w:firstRow="0" w:lastRow="0" w:firstColumn="0" w:lastColumn="0" w:noHBand="0" w:noVBand="0"/>
      </w:tblPr>
      <w:tblGrid>
        <w:gridCol w:w="2250"/>
        <w:gridCol w:w="1170"/>
        <w:gridCol w:w="1170"/>
        <w:gridCol w:w="2235"/>
        <w:gridCol w:w="1170"/>
        <w:gridCol w:w="1170"/>
      </w:tblGrid>
      <w:tr w:rsidR="00320EFB" w:rsidRPr="006E1187" w14:paraId="3CCFA952" w14:textId="77777777" w:rsidTr="00E3798E">
        <w:trPr>
          <w:jc w:val="center"/>
        </w:trPr>
        <w:tc>
          <w:tcPr>
            <w:tcW w:w="2250" w:type="dxa"/>
            <w:tcBorders>
              <w:top w:val="single" w:sz="12" w:space="0" w:color="000000"/>
              <w:left w:val="single" w:sz="12" w:space="0" w:color="000000"/>
              <w:bottom w:val="single" w:sz="18" w:space="0" w:color="000000"/>
              <w:right w:val="single" w:sz="12" w:space="0" w:color="auto"/>
            </w:tcBorders>
            <w:shd w:val="clear" w:color="auto" w:fill="auto"/>
            <w:vAlign w:val="center"/>
          </w:tcPr>
          <w:p w14:paraId="378AEB94" w14:textId="45133FCF" w:rsidR="00320EFB" w:rsidRPr="006E1187" w:rsidRDefault="00320EFB" w:rsidP="00E3798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6E1187">
              <w:rPr>
                <w:rFonts w:ascii="Verdana" w:eastAsia="Times New Roman" w:hAnsi="Verdana"/>
                <w:sz w:val="20"/>
                <w:szCs w:val="20"/>
              </w:rPr>
              <w:t>Type</w:t>
            </w:r>
          </w:p>
        </w:tc>
        <w:tc>
          <w:tcPr>
            <w:tcW w:w="1170" w:type="dxa"/>
            <w:tcBorders>
              <w:top w:val="single" w:sz="12" w:space="0" w:color="000000"/>
              <w:left w:val="single" w:sz="12" w:space="0" w:color="auto"/>
              <w:bottom w:val="single" w:sz="18" w:space="0" w:color="000000"/>
              <w:right w:val="single" w:sz="8" w:space="0" w:color="auto"/>
            </w:tcBorders>
            <w:vAlign w:val="center"/>
          </w:tcPr>
          <w:p w14:paraId="677C6926" w14:textId="77777777" w:rsidR="00320EFB" w:rsidRPr="006E1187" w:rsidRDefault="00320EFB"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auto"/>
              <w:bottom w:val="single" w:sz="18" w:space="0" w:color="000000"/>
              <w:right w:val="single" w:sz="18" w:space="0" w:color="auto"/>
            </w:tcBorders>
            <w:vAlign w:val="center"/>
          </w:tcPr>
          <w:p w14:paraId="2ADAD596" w14:textId="77777777" w:rsidR="00320EFB" w:rsidRPr="006E1187" w:rsidRDefault="00320EFB"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Change</w:t>
            </w:r>
          </w:p>
        </w:tc>
        <w:tc>
          <w:tcPr>
            <w:tcW w:w="2235" w:type="dxa"/>
            <w:tcBorders>
              <w:top w:val="single" w:sz="12" w:space="0" w:color="000000"/>
              <w:left w:val="single" w:sz="18" w:space="0" w:color="auto"/>
              <w:bottom w:val="single" w:sz="18" w:space="0" w:color="000000"/>
              <w:right w:val="single" w:sz="12" w:space="0" w:color="auto"/>
            </w:tcBorders>
            <w:vAlign w:val="center"/>
          </w:tcPr>
          <w:p w14:paraId="28409BDB" w14:textId="5832052C" w:rsidR="00320EFB" w:rsidRPr="006E1187" w:rsidRDefault="00320EFB"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Type</w:t>
            </w:r>
          </w:p>
        </w:tc>
        <w:tc>
          <w:tcPr>
            <w:tcW w:w="1170" w:type="dxa"/>
            <w:tcBorders>
              <w:top w:val="single" w:sz="12" w:space="0" w:color="000000"/>
              <w:left w:val="single" w:sz="12" w:space="0" w:color="auto"/>
              <w:bottom w:val="single" w:sz="18" w:space="0" w:color="000000"/>
              <w:right w:val="single" w:sz="8" w:space="0" w:color="000000"/>
            </w:tcBorders>
            <w:vAlign w:val="center"/>
          </w:tcPr>
          <w:p w14:paraId="51A7FB85" w14:textId="77777777" w:rsidR="00320EFB" w:rsidRPr="006E1187" w:rsidRDefault="00320EFB"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000000"/>
              <w:bottom w:val="single" w:sz="18" w:space="0" w:color="000000"/>
              <w:right w:val="single" w:sz="12" w:space="0" w:color="000000"/>
            </w:tcBorders>
            <w:vAlign w:val="center"/>
          </w:tcPr>
          <w:p w14:paraId="34690ACA" w14:textId="77777777" w:rsidR="00320EFB" w:rsidRPr="006E1187" w:rsidRDefault="00320EFB"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Change</w:t>
            </w:r>
          </w:p>
        </w:tc>
      </w:tr>
      <w:tr w:rsidR="008F34D5" w:rsidRPr="006E1187" w14:paraId="2893239D" w14:textId="77777777" w:rsidTr="00E3798E">
        <w:trPr>
          <w:jc w:val="center"/>
        </w:trPr>
        <w:tc>
          <w:tcPr>
            <w:tcW w:w="2250" w:type="dxa"/>
            <w:tcBorders>
              <w:top w:val="single" w:sz="18" w:space="0" w:color="000000"/>
              <w:left w:val="single" w:sz="12" w:space="0" w:color="000000"/>
              <w:bottom w:val="single" w:sz="4" w:space="0" w:color="000000"/>
              <w:right w:val="single" w:sz="12" w:space="0" w:color="auto"/>
            </w:tcBorders>
            <w:vAlign w:val="center"/>
          </w:tcPr>
          <w:p w14:paraId="059F82A3" w14:textId="61F2D83A" w:rsidR="008F34D5" w:rsidRPr="006E1187" w:rsidRDefault="008F34D5" w:rsidP="008F34D5">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Shredded</w:t>
            </w:r>
          </w:p>
        </w:tc>
        <w:tc>
          <w:tcPr>
            <w:tcW w:w="1170" w:type="dxa"/>
            <w:tcBorders>
              <w:top w:val="single" w:sz="18" w:space="0" w:color="000000"/>
              <w:left w:val="single" w:sz="12" w:space="0" w:color="auto"/>
              <w:bottom w:val="single" w:sz="4" w:space="0" w:color="000000"/>
              <w:right w:val="single" w:sz="8" w:space="0" w:color="auto"/>
            </w:tcBorders>
            <w:vAlign w:val="center"/>
          </w:tcPr>
          <w:p w14:paraId="53636481" w14:textId="760ADE72"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$4.74 B</w:t>
            </w:r>
          </w:p>
        </w:tc>
        <w:tc>
          <w:tcPr>
            <w:tcW w:w="1170" w:type="dxa"/>
            <w:tcBorders>
              <w:top w:val="single" w:sz="18" w:space="0" w:color="000000"/>
              <w:left w:val="single" w:sz="8" w:space="0" w:color="auto"/>
              <w:bottom w:val="single" w:sz="4" w:space="0" w:color="000000"/>
              <w:right w:val="single" w:sz="18" w:space="0" w:color="auto"/>
            </w:tcBorders>
            <w:vAlign w:val="center"/>
          </w:tcPr>
          <w:p w14:paraId="27139908" w14:textId="4CCB968A"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+1.2%</w:t>
            </w:r>
          </w:p>
        </w:tc>
        <w:tc>
          <w:tcPr>
            <w:tcW w:w="2235" w:type="dxa"/>
            <w:tcBorders>
              <w:top w:val="single" w:sz="18" w:space="0" w:color="000000"/>
              <w:left w:val="single" w:sz="18" w:space="0" w:color="auto"/>
              <w:bottom w:val="single" w:sz="4" w:space="0" w:color="000000"/>
              <w:right w:val="single" w:sz="12" w:space="0" w:color="auto"/>
            </w:tcBorders>
            <w:vAlign w:val="center"/>
          </w:tcPr>
          <w:p w14:paraId="35E29E86" w14:textId="191F6811" w:rsidR="008F34D5" w:rsidRPr="006E1187" w:rsidRDefault="008F34D5" w:rsidP="008F34D5">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All other forms</w:t>
            </w:r>
          </w:p>
        </w:tc>
        <w:tc>
          <w:tcPr>
            <w:tcW w:w="1170" w:type="dxa"/>
            <w:tcBorders>
              <w:top w:val="single" w:sz="18" w:space="0" w:color="000000"/>
              <w:left w:val="single" w:sz="12" w:space="0" w:color="auto"/>
              <w:bottom w:val="single" w:sz="4" w:space="0" w:color="000000"/>
              <w:right w:val="single" w:sz="8" w:space="0" w:color="000000"/>
            </w:tcBorders>
            <w:vAlign w:val="center"/>
          </w:tcPr>
          <w:p w14:paraId="51E8539E" w14:textId="64E8113E"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$306.7 M</w:t>
            </w:r>
          </w:p>
        </w:tc>
        <w:tc>
          <w:tcPr>
            <w:tcW w:w="1170" w:type="dxa"/>
            <w:tcBorders>
              <w:top w:val="single" w:sz="18" w:space="0" w:color="000000"/>
              <w:left w:val="single" w:sz="8" w:space="0" w:color="000000"/>
              <w:bottom w:val="single" w:sz="4" w:space="0" w:color="000000"/>
              <w:right w:val="single" w:sz="12" w:space="0" w:color="000000"/>
            </w:tcBorders>
            <w:vAlign w:val="center"/>
          </w:tcPr>
          <w:p w14:paraId="58DCC58A" w14:textId="35EA52C9"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+3.8%</w:t>
            </w:r>
          </w:p>
        </w:tc>
      </w:tr>
      <w:tr w:rsidR="008F34D5" w:rsidRPr="006E1187" w14:paraId="19809C52" w14:textId="77777777" w:rsidTr="00E3798E">
        <w:trPr>
          <w:jc w:val="center"/>
        </w:trPr>
        <w:tc>
          <w:tcPr>
            <w:tcW w:w="2250" w:type="dxa"/>
            <w:tcBorders>
              <w:top w:val="single" w:sz="4" w:space="0" w:color="000000"/>
              <w:left w:val="single" w:sz="12" w:space="0" w:color="000000"/>
              <w:bottom w:val="single" w:sz="4" w:space="0" w:color="000000"/>
              <w:right w:val="single" w:sz="12" w:space="0" w:color="auto"/>
            </w:tcBorders>
            <w:vAlign w:val="center"/>
          </w:tcPr>
          <w:p w14:paraId="2FCA07C4" w14:textId="33E92B0C" w:rsidR="008F34D5" w:rsidRPr="006E1187" w:rsidRDefault="008F34D5" w:rsidP="008F34D5">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Chunks</w:t>
            </w:r>
          </w:p>
        </w:tc>
        <w:tc>
          <w:tcPr>
            <w:tcW w:w="1170" w:type="dxa"/>
            <w:tcBorders>
              <w:top w:val="single" w:sz="4" w:space="0" w:color="000000"/>
              <w:left w:val="single" w:sz="12" w:space="0" w:color="auto"/>
              <w:bottom w:val="single" w:sz="4" w:space="0" w:color="000000"/>
              <w:right w:val="single" w:sz="8" w:space="0" w:color="auto"/>
            </w:tcBorders>
            <w:vAlign w:val="center"/>
          </w:tcPr>
          <w:p w14:paraId="7498B9D9" w14:textId="652E361B"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sidRPr="006E1187">
              <w:rPr>
                <w:rFonts w:ascii="Verdana" w:eastAsia="Times New Roman" w:hAnsi="Verdana"/>
                <w:sz w:val="20"/>
                <w:szCs w:val="20"/>
              </w:rPr>
              <w:t>$3.61 B</w:t>
            </w:r>
          </w:p>
        </w:tc>
        <w:tc>
          <w:tcPr>
            <w:tcW w:w="1170" w:type="dxa"/>
            <w:tcBorders>
              <w:top w:val="single" w:sz="4" w:space="0" w:color="000000"/>
              <w:left w:val="single" w:sz="8" w:space="0" w:color="auto"/>
              <w:bottom w:val="single" w:sz="4" w:space="0" w:color="000000"/>
              <w:right w:val="single" w:sz="18" w:space="0" w:color="auto"/>
            </w:tcBorders>
            <w:vAlign w:val="center"/>
          </w:tcPr>
          <w:p w14:paraId="221EBD42" w14:textId="07A9BC41"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-0.6%</w:t>
            </w:r>
          </w:p>
        </w:tc>
        <w:tc>
          <w:tcPr>
            <w:tcW w:w="2235" w:type="dxa"/>
            <w:tcBorders>
              <w:top w:val="single" w:sz="4" w:space="0" w:color="000000"/>
              <w:left w:val="single" w:sz="18" w:space="0" w:color="auto"/>
              <w:bottom w:val="single" w:sz="4" w:space="0" w:color="000000"/>
              <w:right w:val="single" w:sz="12" w:space="0" w:color="auto"/>
            </w:tcBorders>
            <w:vAlign w:val="center"/>
          </w:tcPr>
          <w:p w14:paraId="104F5789" w14:textId="427E0504" w:rsidR="008F34D5" w:rsidRPr="006E1187" w:rsidRDefault="008F34D5" w:rsidP="008F34D5">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Ricotta</w:t>
            </w:r>
          </w:p>
        </w:tc>
        <w:tc>
          <w:tcPr>
            <w:tcW w:w="1170" w:type="dxa"/>
            <w:tcBorders>
              <w:top w:val="single" w:sz="4" w:space="0" w:color="000000"/>
              <w:left w:val="single" w:sz="12" w:space="0" w:color="auto"/>
              <w:bottom w:val="single" w:sz="4" w:space="0" w:color="000000"/>
              <w:right w:val="single" w:sz="8" w:space="0" w:color="000000"/>
            </w:tcBorders>
            <w:vAlign w:val="center"/>
          </w:tcPr>
          <w:p w14:paraId="4EDDCBFB" w14:textId="77933CB9" w:rsidR="008F34D5" w:rsidRPr="006E1187" w:rsidRDefault="008F34D5" w:rsidP="00E3798E">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sidRPr="006E1187">
              <w:rPr>
                <w:rFonts w:ascii="Verdana" w:eastAsia="Times New Roman" w:hAnsi="Verdana"/>
                <w:sz w:val="20"/>
                <w:szCs w:val="20"/>
              </w:rPr>
              <w:t>$222.4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2DE73247" w14:textId="668D6FFA" w:rsidR="008F34D5" w:rsidRPr="006E1187" w:rsidRDefault="008F34D5" w:rsidP="00E3798E">
            <w:pPr>
              <w:widowControl w:val="0"/>
              <w:tabs>
                <w:tab w:val="left" w:pos="220"/>
                <w:tab w:val="left" w:pos="720"/>
              </w:tabs>
              <w:autoSpaceDE w:val="0"/>
              <w:autoSpaceDN w:val="0"/>
              <w:adjustRightInd w:val="0"/>
              <w:spacing w:after="0" w:line="240" w:lineRule="auto"/>
              <w:ind w:left="36"/>
              <w:contextualSpacing/>
              <w:jc w:val="right"/>
              <w:rPr>
                <w:rFonts w:ascii="Verdana" w:eastAsia="Times New Roman" w:hAnsi="Verdana"/>
                <w:sz w:val="20"/>
                <w:szCs w:val="20"/>
              </w:rPr>
            </w:pPr>
            <w:r w:rsidRPr="006E1187">
              <w:rPr>
                <w:rFonts w:ascii="Verdana" w:eastAsia="Times New Roman" w:hAnsi="Verdana"/>
                <w:sz w:val="20"/>
                <w:szCs w:val="20"/>
              </w:rPr>
              <w:t>-1.0%</w:t>
            </w:r>
          </w:p>
        </w:tc>
      </w:tr>
      <w:tr w:rsidR="008F34D5" w:rsidRPr="006E1187" w14:paraId="2F3B9B0C" w14:textId="77777777" w:rsidTr="00E3798E">
        <w:trPr>
          <w:jc w:val="center"/>
        </w:trPr>
        <w:tc>
          <w:tcPr>
            <w:tcW w:w="2250" w:type="dxa"/>
            <w:tcBorders>
              <w:top w:val="single" w:sz="4" w:space="0" w:color="000000"/>
              <w:left w:val="single" w:sz="12" w:space="0" w:color="000000"/>
              <w:bottom w:val="single" w:sz="4" w:space="0" w:color="000000"/>
              <w:right w:val="single" w:sz="12" w:space="0" w:color="auto"/>
            </w:tcBorders>
            <w:vAlign w:val="center"/>
          </w:tcPr>
          <w:p w14:paraId="75F9B70C" w14:textId="098FE215" w:rsidR="008F34D5" w:rsidRPr="006E1187" w:rsidRDefault="008F34D5" w:rsidP="008F34D5">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Slices</w:t>
            </w:r>
          </w:p>
        </w:tc>
        <w:tc>
          <w:tcPr>
            <w:tcW w:w="1170" w:type="dxa"/>
            <w:tcBorders>
              <w:top w:val="single" w:sz="4" w:space="0" w:color="000000"/>
              <w:left w:val="single" w:sz="12" w:space="0" w:color="auto"/>
              <w:bottom w:val="single" w:sz="4" w:space="0" w:color="000000"/>
              <w:right w:val="single" w:sz="8" w:space="0" w:color="auto"/>
            </w:tcBorders>
            <w:vAlign w:val="center"/>
          </w:tcPr>
          <w:p w14:paraId="07F04F95" w14:textId="1B53596B"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$2.24 B</w:t>
            </w:r>
          </w:p>
        </w:tc>
        <w:tc>
          <w:tcPr>
            <w:tcW w:w="1170" w:type="dxa"/>
            <w:tcBorders>
              <w:top w:val="single" w:sz="4" w:space="0" w:color="000000"/>
              <w:left w:val="single" w:sz="8" w:space="0" w:color="auto"/>
              <w:bottom w:val="single" w:sz="4" w:space="0" w:color="000000"/>
              <w:right w:val="single" w:sz="18" w:space="0" w:color="auto"/>
            </w:tcBorders>
            <w:vAlign w:val="center"/>
          </w:tcPr>
          <w:p w14:paraId="2929C34C" w14:textId="48864C16"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+3.3%</w:t>
            </w:r>
          </w:p>
        </w:tc>
        <w:tc>
          <w:tcPr>
            <w:tcW w:w="2235" w:type="dxa"/>
            <w:tcBorders>
              <w:top w:val="single" w:sz="4" w:space="0" w:color="000000"/>
              <w:left w:val="single" w:sz="18" w:space="0" w:color="auto"/>
              <w:bottom w:val="single" w:sz="4" w:space="0" w:color="000000"/>
              <w:right w:val="single" w:sz="12" w:space="0" w:color="auto"/>
            </w:tcBorders>
            <w:vAlign w:val="center"/>
          </w:tcPr>
          <w:p w14:paraId="42360EFB" w14:textId="5B0DC3E1" w:rsidR="008F34D5" w:rsidRPr="006E1187" w:rsidRDefault="008F34D5" w:rsidP="008F34D5">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Cubes</w:t>
            </w:r>
          </w:p>
        </w:tc>
        <w:tc>
          <w:tcPr>
            <w:tcW w:w="1170" w:type="dxa"/>
            <w:tcBorders>
              <w:top w:val="single" w:sz="4" w:space="0" w:color="000000"/>
              <w:left w:val="single" w:sz="12" w:space="0" w:color="auto"/>
              <w:bottom w:val="single" w:sz="4" w:space="0" w:color="000000"/>
              <w:right w:val="single" w:sz="8" w:space="0" w:color="000000"/>
            </w:tcBorders>
            <w:vAlign w:val="center"/>
          </w:tcPr>
          <w:p w14:paraId="2EE97AE4" w14:textId="3A206475"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$121.5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4E1C5026" w14:textId="07BAAE8E"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+7.7%</w:t>
            </w:r>
          </w:p>
        </w:tc>
      </w:tr>
      <w:tr w:rsidR="008F34D5" w:rsidRPr="006E1187" w14:paraId="05DE758F" w14:textId="77777777" w:rsidTr="00E3798E">
        <w:trPr>
          <w:jc w:val="center"/>
        </w:trPr>
        <w:tc>
          <w:tcPr>
            <w:tcW w:w="2250" w:type="dxa"/>
            <w:tcBorders>
              <w:top w:val="single" w:sz="4" w:space="0" w:color="000000"/>
              <w:left w:val="single" w:sz="12" w:space="0" w:color="000000"/>
              <w:bottom w:val="single" w:sz="4" w:space="0" w:color="000000"/>
              <w:right w:val="single" w:sz="12" w:space="0" w:color="auto"/>
            </w:tcBorders>
            <w:vAlign w:val="center"/>
          </w:tcPr>
          <w:p w14:paraId="1CB7DBA6" w14:textId="60B652A3" w:rsidR="008F34D5" w:rsidRPr="006E1187" w:rsidRDefault="008F34D5" w:rsidP="008F34D5">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Strings/Sticks</w:t>
            </w:r>
          </w:p>
        </w:tc>
        <w:tc>
          <w:tcPr>
            <w:tcW w:w="1170" w:type="dxa"/>
            <w:tcBorders>
              <w:top w:val="single" w:sz="4" w:space="0" w:color="000000"/>
              <w:left w:val="single" w:sz="12" w:space="0" w:color="auto"/>
              <w:bottom w:val="single" w:sz="4" w:space="0" w:color="000000"/>
              <w:right w:val="single" w:sz="8" w:space="0" w:color="auto"/>
            </w:tcBorders>
            <w:vAlign w:val="center"/>
          </w:tcPr>
          <w:p w14:paraId="5472434C" w14:textId="16D6D0EB"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$1.26 B</w:t>
            </w:r>
          </w:p>
        </w:tc>
        <w:tc>
          <w:tcPr>
            <w:tcW w:w="1170" w:type="dxa"/>
            <w:tcBorders>
              <w:top w:val="single" w:sz="4" w:space="0" w:color="000000"/>
              <w:left w:val="single" w:sz="8" w:space="0" w:color="auto"/>
              <w:bottom w:val="single" w:sz="4" w:space="0" w:color="000000"/>
              <w:right w:val="single" w:sz="18" w:space="0" w:color="auto"/>
            </w:tcBorders>
            <w:vAlign w:val="center"/>
          </w:tcPr>
          <w:p w14:paraId="3E8CAC33" w14:textId="05CAC084"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0.0%</w:t>
            </w:r>
          </w:p>
        </w:tc>
        <w:tc>
          <w:tcPr>
            <w:tcW w:w="2235" w:type="dxa"/>
            <w:tcBorders>
              <w:top w:val="single" w:sz="4" w:space="0" w:color="000000"/>
              <w:left w:val="single" w:sz="18" w:space="0" w:color="auto"/>
              <w:bottom w:val="single" w:sz="4" w:space="0" w:color="000000"/>
              <w:right w:val="single" w:sz="12" w:space="0" w:color="auto"/>
            </w:tcBorders>
            <w:vAlign w:val="center"/>
          </w:tcPr>
          <w:p w14:paraId="35B70874" w14:textId="1FC72D18" w:rsidR="008F34D5" w:rsidRPr="006E1187" w:rsidRDefault="008F34D5" w:rsidP="008F34D5">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Refrigerated grated</w:t>
            </w:r>
          </w:p>
        </w:tc>
        <w:tc>
          <w:tcPr>
            <w:tcW w:w="1170" w:type="dxa"/>
            <w:tcBorders>
              <w:top w:val="single" w:sz="4" w:space="0" w:color="000000"/>
              <w:left w:val="single" w:sz="12" w:space="0" w:color="auto"/>
              <w:bottom w:val="single" w:sz="4" w:space="0" w:color="000000"/>
              <w:right w:val="single" w:sz="8" w:space="0" w:color="000000"/>
            </w:tcBorders>
            <w:vAlign w:val="center"/>
          </w:tcPr>
          <w:p w14:paraId="49CC2182" w14:textId="3719AB57" w:rsidR="008F34D5" w:rsidRPr="006E1187" w:rsidRDefault="008F34D5" w:rsidP="00E3798E">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sidRPr="006E1187">
              <w:rPr>
                <w:rFonts w:ascii="Verdana" w:eastAsia="Times New Roman" w:hAnsi="Verdana"/>
                <w:sz w:val="20"/>
                <w:szCs w:val="20"/>
              </w:rPr>
              <w:t>$105.1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372E4A20" w14:textId="6ECEF63B" w:rsidR="008F34D5" w:rsidRPr="006E1187" w:rsidRDefault="008F34D5" w:rsidP="00E3798E">
            <w:pPr>
              <w:widowControl w:val="0"/>
              <w:tabs>
                <w:tab w:val="left" w:pos="220"/>
                <w:tab w:val="left" w:pos="720"/>
              </w:tabs>
              <w:autoSpaceDE w:val="0"/>
              <w:autoSpaceDN w:val="0"/>
              <w:adjustRightInd w:val="0"/>
              <w:spacing w:after="0" w:line="240" w:lineRule="auto"/>
              <w:ind w:left="66"/>
              <w:contextualSpacing/>
              <w:jc w:val="right"/>
              <w:rPr>
                <w:rFonts w:ascii="Verdana" w:eastAsia="Times New Roman" w:hAnsi="Verdana"/>
                <w:sz w:val="20"/>
                <w:szCs w:val="20"/>
              </w:rPr>
            </w:pPr>
            <w:r w:rsidRPr="006E1187">
              <w:rPr>
                <w:rFonts w:ascii="Verdana" w:eastAsia="Times New Roman" w:hAnsi="Verdana"/>
                <w:sz w:val="20"/>
                <w:szCs w:val="20"/>
              </w:rPr>
              <w:t>+10.1%</w:t>
            </w:r>
          </w:p>
        </w:tc>
      </w:tr>
      <w:tr w:rsidR="008F34D5" w:rsidRPr="006E1187" w14:paraId="3225E2E0" w14:textId="77777777" w:rsidTr="00E3798E">
        <w:trPr>
          <w:jc w:val="center"/>
        </w:trPr>
        <w:tc>
          <w:tcPr>
            <w:tcW w:w="2250" w:type="dxa"/>
            <w:tcBorders>
              <w:top w:val="single" w:sz="4" w:space="0" w:color="000000"/>
              <w:left w:val="single" w:sz="12" w:space="0" w:color="000000"/>
              <w:bottom w:val="single" w:sz="12" w:space="0" w:color="000000"/>
              <w:right w:val="single" w:sz="12" w:space="0" w:color="auto"/>
            </w:tcBorders>
            <w:vAlign w:val="center"/>
          </w:tcPr>
          <w:p w14:paraId="23EED496" w14:textId="118C9C47" w:rsidR="008F34D5" w:rsidRPr="006E1187" w:rsidRDefault="008F34D5" w:rsidP="008F34D5">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Crumbled</w:t>
            </w:r>
          </w:p>
        </w:tc>
        <w:tc>
          <w:tcPr>
            <w:tcW w:w="1170" w:type="dxa"/>
            <w:tcBorders>
              <w:top w:val="single" w:sz="4" w:space="0" w:color="000000"/>
              <w:left w:val="single" w:sz="12" w:space="0" w:color="auto"/>
              <w:bottom w:val="single" w:sz="12" w:space="0" w:color="000000"/>
              <w:right w:val="single" w:sz="8" w:space="0" w:color="auto"/>
            </w:tcBorders>
            <w:vAlign w:val="center"/>
          </w:tcPr>
          <w:p w14:paraId="1C5E3C29" w14:textId="5A53FF5F"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$339.8 M</w:t>
            </w:r>
          </w:p>
        </w:tc>
        <w:tc>
          <w:tcPr>
            <w:tcW w:w="1170" w:type="dxa"/>
            <w:tcBorders>
              <w:top w:val="single" w:sz="4" w:space="0" w:color="000000"/>
              <w:left w:val="single" w:sz="8" w:space="0" w:color="auto"/>
              <w:bottom w:val="single" w:sz="12" w:space="0" w:color="000000"/>
              <w:right w:val="single" w:sz="18" w:space="0" w:color="auto"/>
            </w:tcBorders>
            <w:vAlign w:val="center"/>
          </w:tcPr>
          <w:p w14:paraId="6636B72D" w14:textId="6378C676"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-1.1%</w:t>
            </w:r>
          </w:p>
        </w:tc>
        <w:tc>
          <w:tcPr>
            <w:tcW w:w="2235" w:type="dxa"/>
            <w:tcBorders>
              <w:top w:val="single" w:sz="4" w:space="0" w:color="000000"/>
              <w:left w:val="single" w:sz="18" w:space="0" w:color="auto"/>
              <w:bottom w:val="single" w:sz="12" w:space="0" w:color="000000"/>
              <w:right w:val="single" w:sz="12" w:space="0" w:color="auto"/>
            </w:tcBorders>
            <w:shd w:val="clear" w:color="auto" w:fill="auto"/>
            <w:vAlign w:val="center"/>
          </w:tcPr>
          <w:p w14:paraId="5C1E21B9" w14:textId="2B628CBD" w:rsidR="008F34D5" w:rsidRPr="006E1187" w:rsidRDefault="008F34D5" w:rsidP="008F34D5">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Total category</w:t>
            </w:r>
          </w:p>
        </w:tc>
        <w:tc>
          <w:tcPr>
            <w:tcW w:w="1170" w:type="dxa"/>
            <w:tcBorders>
              <w:top w:val="single" w:sz="4" w:space="0" w:color="000000"/>
              <w:left w:val="single" w:sz="12" w:space="0" w:color="auto"/>
              <w:bottom w:val="single" w:sz="12" w:space="0" w:color="000000"/>
              <w:right w:val="single" w:sz="8" w:space="0" w:color="000000"/>
            </w:tcBorders>
            <w:shd w:val="clear" w:color="auto" w:fill="auto"/>
            <w:vAlign w:val="center"/>
          </w:tcPr>
          <w:p w14:paraId="0B009106" w14:textId="2C69B99E"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$12.94 B</w:t>
            </w:r>
          </w:p>
        </w:tc>
        <w:tc>
          <w:tcPr>
            <w:tcW w:w="1170" w:type="dxa"/>
            <w:tcBorders>
              <w:top w:val="single" w:sz="4" w:space="0" w:color="000000"/>
              <w:left w:val="single" w:sz="8" w:space="0" w:color="000000"/>
              <w:bottom w:val="single" w:sz="12" w:space="0" w:color="000000"/>
              <w:right w:val="single" w:sz="12" w:space="0" w:color="000000"/>
            </w:tcBorders>
            <w:shd w:val="clear" w:color="auto" w:fill="auto"/>
            <w:vAlign w:val="center"/>
          </w:tcPr>
          <w:p w14:paraId="2FC84C5A" w14:textId="61268AB3" w:rsidR="008F34D5" w:rsidRPr="006E1187" w:rsidRDefault="008F34D5"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+1.0%</w:t>
            </w:r>
          </w:p>
        </w:tc>
      </w:tr>
    </w:tbl>
    <w:p w14:paraId="727D7E78" w14:textId="29C3F4B2" w:rsidR="00320EFB" w:rsidRPr="006E1187" w:rsidRDefault="00320EFB" w:rsidP="008F34D5">
      <w:pPr>
        <w:spacing w:after="0" w:line="240" w:lineRule="auto"/>
        <w:ind w:firstLine="90"/>
        <w:contextualSpacing/>
        <w:mirrorIndents/>
        <w:rPr>
          <w:rFonts w:ascii="Verdana" w:hAnsi="Verdana"/>
          <w:sz w:val="16"/>
          <w:szCs w:val="16"/>
        </w:rPr>
      </w:pPr>
      <w:r w:rsidRPr="006E1187">
        <w:rPr>
          <w:rFonts w:ascii="Verdana" w:hAnsi="Verdana"/>
          <w:i/>
          <w:sz w:val="16"/>
          <w:szCs w:val="16"/>
        </w:rPr>
        <w:t>Dairy Foods</w:t>
      </w:r>
      <w:r w:rsidRPr="006E1187">
        <w:rPr>
          <w:rFonts w:ascii="Verdana" w:hAnsi="Verdana"/>
          <w:sz w:val="16"/>
          <w:szCs w:val="16"/>
        </w:rPr>
        <w:t>, November 2018</w:t>
      </w:r>
      <w:r w:rsidRPr="006E1187">
        <w:rPr>
          <w:rFonts w:ascii="Verdana" w:hAnsi="Verdana"/>
          <w:sz w:val="16"/>
          <w:szCs w:val="16"/>
        </w:rPr>
        <w:tab/>
      </w:r>
      <w:r w:rsidRPr="006E1187">
        <w:rPr>
          <w:rFonts w:ascii="Verdana" w:hAnsi="Verdana"/>
          <w:sz w:val="16"/>
          <w:szCs w:val="16"/>
        </w:rPr>
        <w:tab/>
      </w:r>
      <w:r w:rsidRPr="006E1187">
        <w:rPr>
          <w:rFonts w:ascii="Verdana" w:hAnsi="Verdana"/>
          <w:sz w:val="16"/>
          <w:szCs w:val="16"/>
        </w:rPr>
        <w:tab/>
      </w:r>
      <w:r w:rsidRPr="006E1187">
        <w:rPr>
          <w:rFonts w:ascii="Verdana" w:hAnsi="Verdana"/>
          <w:sz w:val="16"/>
          <w:szCs w:val="16"/>
        </w:rPr>
        <w:tab/>
      </w:r>
      <w:r w:rsidRPr="006E1187">
        <w:rPr>
          <w:rFonts w:ascii="Verdana" w:hAnsi="Verdana"/>
          <w:sz w:val="16"/>
          <w:szCs w:val="16"/>
        </w:rPr>
        <w:tab/>
        <w:t>*for 52 weeks ending August 12, 2018</w:t>
      </w:r>
    </w:p>
    <w:p w14:paraId="1729B02D" w14:textId="3558639F" w:rsidR="00320EFB" w:rsidRPr="006E1187" w:rsidRDefault="00320EFB" w:rsidP="00320EFB">
      <w:pPr>
        <w:pStyle w:val="ListParagraph"/>
        <w:spacing w:after="0" w:line="240" w:lineRule="auto"/>
        <w:ind w:left="360"/>
        <w:mirrorIndents/>
        <w:rPr>
          <w:rFonts w:ascii="Verdana" w:hAnsi="Verdana"/>
          <w:sz w:val="20"/>
          <w:szCs w:val="20"/>
        </w:rPr>
      </w:pPr>
    </w:p>
    <w:p w14:paraId="12CDAE72" w14:textId="2B380800" w:rsidR="007B1A70" w:rsidRPr="006E1187" w:rsidRDefault="007B1A70" w:rsidP="0024297F">
      <w:pPr>
        <w:spacing w:after="0" w:line="240" w:lineRule="auto"/>
        <w:contextualSpacing/>
        <w:mirrorIndents/>
        <w:jc w:val="center"/>
        <w:rPr>
          <w:rFonts w:ascii="Verdana" w:hAnsi="Verdana"/>
          <w:b/>
          <w:color w:val="0070C0"/>
          <w:sz w:val="20"/>
          <w:szCs w:val="20"/>
        </w:rPr>
      </w:pPr>
      <w:r w:rsidRPr="006E1187">
        <w:rPr>
          <w:rFonts w:ascii="Verdana" w:hAnsi="Verdana"/>
          <w:b/>
          <w:color w:val="0070C0"/>
          <w:sz w:val="20"/>
          <w:szCs w:val="20"/>
        </w:rPr>
        <w:t>Butter Segment Winning with Positive Fat Perspective</w:t>
      </w:r>
    </w:p>
    <w:p w14:paraId="77A9FB5D" w14:textId="77777777" w:rsidR="007B1A70" w:rsidRPr="006E1187" w:rsidRDefault="007B1A70" w:rsidP="007B1A70">
      <w:pPr>
        <w:spacing w:after="0" w:line="240" w:lineRule="auto"/>
        <w:contextualSpacing/>
        <w:mirrorIndents/>
        <w:rPr>
          <w:rFonts w:ascii="Verdana" w:hAnsi="Verdana"/>
          <w:sz w:val="20"/>
          <w:szCs w:val="20"/>
        </w:rPr>
      </w:pPr>
    </w:p>
    <w:p w14:paraId="3318B40F" w14:textId="41D4FA53" w:rsidR="0024297F" w:rsidRPr="006E1187" w:rsidRDefault="0024297F" w:rsidP="0024297F">
      <w:pPr>
        <w:pStyle w:val="ListParagraph"/>
        <w:numPr>
          <w:ilvl w:val="0"/>
          <w:numId w:val="5"/>
        </w:numPr>
        <w:spacing w:after="0" w:line="240" w:lineRule="auto"/>
        <w:mirrorIndents/>
        <w:rPr>
          <w:rFonts w:ascii="Verdana" w:hAnsi="Verdana"/>
          <w:sz w:val="20"/>
          <w:szCs w:val="20"/>
        </w:rPr>
      </w:pPr>
      <w:r w:rsidRPr="006E1187">
        <w:rPr>
          <w:rFonts w:ascii="Verdana" w:hAnsi="Verdana"/>
          <w:sz w:val="20"/>
          <w:szCs w:val="20"/>
        </w:rPr>
        <w:t>Similar to the updated research about whole milk, the butter category has improved</w:t>
      </w:r>
      <w:r w:rsidR="00741B21">
        <w:rPr>
          <w:rFonts w:ascii="Verdana" w:hAnsi="Verdana"/>
          <w:sz w:val="20"/>
          <w:szCs w:val="20"/>
        </w:rPr>
        <w:t>,</w:t>
      </w:r>
      <w:r w:rsidRPr="006E1187">
        <w:rPr>
          <w:rFonts w:ascii="Verdana" w:hAnsi="Verdana"/>
          <w:sz w:val="20"/>
          <w:szCs w:val="20"/>
        </w:rPr>
        <w:t xml:space="preserve"> because many consumers now view it as a beneficial</w:t>
      </w:r>
      <w:r w:rsidR="00E3798E">
        <w:rPr>
          <w:rFonts w:ascii="Verdana" w:hAnsi="Verdana"/>
          <w:sz w:val="20"/>
          <w:szCs w:val="20"/>
        </w:rPr>
        <w:t>,</w:t>
      </w:r>
      <w:r w:rsidRPr="006E1187">
        <w:rPr>
          <w:rFonts w:ascii="Verdana" w:hAnsi="Verdana"/>
          <w:sz w:val="20"/>
          <w:szCs w:val="20"/>
        </w:rPr>
        <w:t xml:space="preserve"> natural source of fat, which resulted in increased dollar sales of 5.8% for the 52 weeks ending August 12, 2018.</w:t>
      </w:r>
    </w:p>
    <w:p w14:paraId="5209AEC8" w14:textId="77777777" w:rsidR="0024297F" w:rsidRPr="006E1187" w:rsidRDefault="0024297F" w:rsidP="007B1A70">
      <w:pPr>
        <w:spacing w:after="0" w:line="240" w:lineRule="auto"/>
        <w:contextualSpacing/>
        <w:mirrorIndents/>
        <w:rPr>
          <w:rFonts w:ascii="Verdana" w:hAnsi="Verdana"/>
          <w:sz w:val="20"/>
          <w:szCs w:val="20"/>
        </w:rPr>
      </w:pPr>
    </w:p>
    <w:p w14:paraId="3770B039" w14:textId="58BAD48C" w:rsidR="0024297F" w:rsidRPr="006E1187" w:rsidRDefault="0024297F" w:rsidP="0024297F">
      <w:pPr>
        <w:pStyle w:val="ListParagraph"/>
        <w:numPr>
          <w:ilvl w:val="0"/>
          <w:numId w:val="5"/>
        </w:numPr>
        <w:spacing w:after="0" w:line="240" w:lineRule="auto"/>
        <w:mirrorIndents/>
        <w:rPr>
          <w:rFonts w:ascii="Verdana" w:hAnsi="Verdana"/>
          <w:sz w:val="20"/>
          <w:szCs w:val="20"/>
        </w:rPr>
      </w:pPr>
      <w:r w:rsidRPr="006E1187">
        <w:rPr>
          <w:rFonts w:ascii="Verdana" w:hAnsi="Verdana"/>
          <w:sz w:val="20"/>
          <w:szCs w:val="20"/>
        </w:rPr>
        <w:t>Additional research from Mintel found household penetration of butter has almost reached 80% and Dairy Farmers of America report</w:t>
      </w:r>
      <w:r w:rsidR="00E3798E">
        <w:rPr>
          <w:rFonts w:ascii="Verdana" w:hAnsi="Verdana"/>
          <w:sz w:val="20"/>
          <w:szCs w:val="20"/>
        </w:rPr>
        <w:t>ed</w:t>
      </w:r>
      <w:r w:rsidRPr="006E1187">
        <w:rPr>
          <w:rFonts w:ascii="Verdana" w:hAnsi="Verdana"/>
          <w:sz w:val="20"/>
          <w:szCs w:val="20"/>
        </w:rPr>
        <w:t xml:space="preserve"> per-capita consumption</w:t>
      </w:r>
      <w:r w:rsidR="00E22E5D" w:rsidRPr="006E1187">
        <w:rPr>
          <w:rFonts w:ascii="Verdana" w:hAnsi="Verdana"/>
          <w:sz w:val="20"/>
          <w:szCs w:val="20"/>
        </w:rPr>
        <w:t xml:space="preserve"> is almost 6 pounds per person, the largest amount during an almost 40-year period.</w:t>
      </w:r>
    </w:p>
    <w:p w14:paraId="3E98EEB8" w14:textId="77777777" w:rsidR="001B4ADA" w:rsidRPr="006E1187" w:rsidRDefault="001B4ADA" w:rsidP="001B4ADA">
      <w:pPr>
        <w:pStyle w:val="ListParagraph"/>
        <w:spacing w:after="0" w:line="240" w:lineRule="auto"/>
        <w:ind w:left="360"/>
        <w:mirrorIndents/>
        <w:rPr>
          <w:rFonts w:ascii="Verdana" w:hAnsi="Verdana"/>
          <w:sz w:val="20"/>
          <w:szCs w:val="20"/>
        </w:rPr>
      </w:pPr>
    </w:p>
    <w:p w14:paraId="18E6B4EA" w14:textId="004547B2" w:rsidR="001B4ADA" w:rsidRPr="006E1187" w:rsidRDefault="001B4ADA" w:rsidP="0024297F">
      <w:pPr>
        <w:pStyle w:val="ListParagraph"/>
        <w:numPr>
          <w:ilvl w:val="0"/>
          <w:numId w:val="5"/>
        </w:numPr>
        <w:spacing w:after="0" w:line="240" w:lineRule="auto"/>
        <w:mirrorIndents/>
        <w:rPr>
          <w:rFonts w:ascii="Verdana" w:hAnsi="Verdana"/>
          <w:sz w:val="20"/>
          <w:szCs w:val="20"/>
        </w:rPr>
      </w:pPr>
      <w:r w:rsidRPr="006E1187">
        <w:rPr>
          <w:rFonts w:ascii="Verdana" w:hAnsi="Verdana"/>
          <w:sz w:val="20"/>
          <w:szCs w:val="20"/>
        </w:rPr>
        <w:t>Consumers are also identifying butter as a local or regional product, which is their preference for many food and beverage categories, both when cooking at home and eating at a restaurant, while many view margarine as a processed food.</w:t>
      </w:r>
    </w:p>
    <w:p w14:paraId="249739A9" w14:textId="77777777" w:rsidR="0024297F" w:rsidRPr="006E1187" w:rsidRDefault="0024297F" w:rsidP="007B1A70">
      <w:pPr>
        <w:spacing w:after="0" w:line="240" w:lineRule="auto"/>
        <w:contextualSpacing/>
        <w:mirrorIndents/>
        <w:rPr>
          <w:rFonts w:ascii="Verdana" w:hAnsi="Verdana"/>
          <w:sz w:val="20"/>
          <w:szCs w:val="20"/>
        </w:rPr>
      </w:pPr>
    </w:p>
    <w:p w14:paraId="7878E633" w14:textId="72FA2E22" w:rsidR="001B4ADA" w:rsidRPr="006E1187" w:rsidRDefault="001B4ADA" w:rsidP="001B4ADA">
      <w:pPr>
        <w:pStyle w:val="Header"/>
        <w:contextualSpacing/>
        <w:jc w:val="center"/>
        <w:rPr>
          <w:rFonts w:ascii="Verdana" w:hAnsi="Verdana"/>
          <w:b/>
          <w:sz w:val="20"/>
          <w:szCs w:val="20"/>
        </w:rPr>
      </w:pPr>
      <w:r w:rsidRPr="006E1187">
        <w:rPr>
          <w:rFonts w:ascii="Verdana" w:hAnsi="Verdana"/>
          <w:b/>
          <w:sz w:val="20"/>
          <w:szCs w:val="20"/>
        </w:rPr>
        <w:t>Refrigerated Butt</w:t>
      </w:r>
      <w:r w:rsidR="00916D61" w:rsidRPr="006E1187">
        <w:rPr>
          <w:rFonts w:ascii="Verdana" w:hAnsi="Verdana"/>
          <w:b/>
          <w:sz w:val="20"/>
          <w:szCs w:val="20"/>
        </w:rPr>
        <w:t>er</w:t>
      </w:r>
      <w:r w:rsidRPr="006E1187">
        <w:rPr>
          <w:rFonts w:ascii="Verdana" w:hAnsi="Verdana"/>
          <w:b/>
          <w:sz w:val="20"/>
          <w:szCs w:val="20"/>
        </w:rPr>
        <w:t xml:space="preserve"> Category’s Dollars Sales*</w:t>
      </w:r>
    </w:p>
    <w:tbl>
      <w:tblPr>
        <w:tblW w:w="8535" w:type="dxa"/>
        <w:jc w:val="center"/>
        <w:tblBorders>
          <w:left w:val="single" w:sz="8" w:space="0" w:color="000000"/>
          <w:right w:val="single" w:sz="8" w:space="0" w:color="000000"/>
        </w:tblBorders>
        <w:tblLayout w:type="fixed"/>
        <w:tblLook w:val="0000" w:firstRow="0" w:lastRow="0" w:firstColumn="0" w:lastColumn="0" w:noHBand="0" w:noVBand="0"/>
      </w:tblPr>
      <w:tblGrid>
        <w:gridCol w:w="1905"/>
        <w:gridCol w:w="1170"/>
        <w:gridCol w:w="1170"/>
        <w:gridCol w:w="1950"/>
        <w:gridCol w:w="1170"/>
        <w:gridCol w:w="1170"/>
      </w:tblGrid>
      <w:tr w:rsidR="006E1187" w:rsidRPr="006E1187" w14:paraId="332EB736" w14:textId="77777777" w:rsidTr="00E3798E">
        <w:trPr>
          <w:jc w:val="center"/>
        </w:trPr>
        <w:tc>
          <w:tcPr>
            <w:tcW w:w="1905" w:type="dxa"/>
            <w:tcBorders>
              <w:top w:val="single" w:sz="12" w:space="0" w:color="000000"/>
              <w:left w:val="single" w:sz="12" w:space="0" w:color="000000"/>
              <w:bottom w:val="single" w:sz="18" w:space="0" w:color="000000"/>
              <w:right w:val="single" w:sz="12" w:space="0" w:color="auto"/>
            </w:tcBorders>
            <w:shd w:val="clear" w:color="auto" w:fill="auto"/>
            <w:vAlign w:val="center"/>
          </w:tcPr>
          <w:p w14:paraId="5124367A" w14:textId="77777777" w:rsidR="001B4ADA" w:rsidRPr="006E1187" w:rsidRDefault="001B4ADA" w:rsidP="00E3798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6E1187">
              <w:rPr>
                <w:rFonts w:ascii="Verdana" w:eastAsia="Times New Roman" w:hAnsi="Verdana"/>
                <w:sz w:val="20"/>
                <w:szCs w:val="20"/>
              </w:rPr>
              <w:t>Brand</w:t>
            </w:r>
          </w:p>
        </w:tc>
        <w:tc>
          <w:tcPr>
            <w:tcW w:w="1170" w:type="dxa"/>
            <w:tcBorders>
              <w:top w:val="single" w:sz="12" w:space="0" w:color="000000"/>
              <w:left w:val="single" w:sz="12" w:space="0" w:color="auto"/>
              <w:bottom w:val="single" w:sz="18" w:space="0" w:color="000000"/>
              <w:right w:val="single" w:sz="8" w:space="0" w:color="auto"/>
            </w:tcBorders>
            <w:vAlign w:val="center"/>
          </w:tcPr>
          <w:p w14:paraId="754ABB36" w14:textId="77777777"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auto"/>
              <w:bottom w:val="single" w:sz="18" w:space="0" w:color="000000"/>
              <w:right w:val="single" w:sz="18" w:space="0" w:color="auto"/>
            </w:tcBorders>
            <w:vAlign w:val="center"/>
          </w:tcPr>
          <w:p w14:paraId="4EFCFF1A" w14:textId="77777777"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Change</w:t>
            </w:r>
          </w:p>
        </w:tc>
        <w:tc>
          <w:tcPr>
            <w:tcW w:w="1950" w:type="dxa"/>
            <w:tcBorders>
              <w:top w:val="single" w:sz="12" w:space="0" w:color="000000"/>
              <w:left w:val="single" w:sz="18" w:space="0" w:color="auto"/>
              <w:bottom w:val="single" w:sz="18" w:space="0" w:color="000000"/>
              <w:right w:val="single" w:sz="12" w:space="0" w:color="auto"/>
            </w:tcBorders>
            <w:vAlign w:val="center"/>
          </w:tcPr>
          <w:p w14:paraId="5AD36548" w14:textId="77777777"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Brand</w:t>
            </w:r>
          </w:p>
        </w:tc>
        <w:tc>
          <w:tcPr>
            <w:tcW w:w="1170" w:type="dxa"/>
            <w:tcBorders>
              <w:top w:val="single" w:sz="12" w:space="0" w:color="000000"/>
              <w:left w:val="single" w:sz="12" w:space="0" w:color="auto"/>
              <w:bottom w:val="single" w:sz="18" w:space="0" w:color="000000"/>
              <w:right w:val="single" w:sz="8" w:space="0" w:color="000000"/>
            </w:tcBorders>
            <w:vAlign w:val="center"/>
          </w:tcPr>
          <w:p w14:paraId="7AE15704" w14:textId="77777777"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000000"/>
              <w:bottom w:val="single" w:sz="18" w:space="0" w:color="000000"/>
              <w:right w:val="single" w:sz="12" w:space="0" w:color="000000"/>
            </w:tcBorders>
            <w:vAlign w:val="center"/>
          </w:tcPr>
          <w:p w14:paraId="31D428D1" w14:textId="77777777"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Change</w:t>
            </w:r>
          </w:p>
        </w:tc>
      </w:tr>
      <w:tr w:rsidR="001B4ADA" w:rsidRPr="006E1187" w14:paraId="390F7AF3" w14:textId="77777777" w:rsidTr="00E3798E">
        <w:trPr>
          <w:jc w:val="center"/>
        </w:trPr>
        <w:tc>
          <w:tcPr>
            <w:tcW w:w="1905" w:type="dxa"/>
            <w:tcBorders>
              <w:top w:val="single" w:sz="18" w:space="0" w:color="000000"/>
              <w:left w:val="single" w:sz="12" w:space="0" w:color="000000"/>
              <w:bottom w:val="single" w:sz="4" w:space="0" w:color="000000"/>
              <w:right w:val="single" w:sz="12" w:space="0" w:color="auto"/>
            </w:tcBorders>
            <w:vAlign w:val="center"/>
          </w:tcPr>
          <w:p w14:paraId="223771EE" w14:textId="77777777" w:rsidR="001B4ADA" w:rsidRPr="006E1187" w:rsidRDefault="001B4ADA"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Private label</w:t>
            </w:r>
          </w:p>
        </w:tc>
        <w:tc>
          <w:tcPr>
            <w:tcW w:w="1170" w:type="dxa"/>
            <w:tcBorders>
              <w:top w:val="single" w:sz="18" w:space="0" w:color="000000"/>
              <w:left w:val="single" w:sz="12" w:space="0" w:color="auto"/>
              <w:bottom w:val="single" w:sz="4" w:space="0" w:color="000000"/>
              <w:right w:val="single" w:sz="8" w:space="0" w:color="auto"/>
            </w:tcBorders>
            <w:vAlign w:val="center"/>
          </w:tcPr>
          <w:p w14:paraId="441A6CBC" w14:textId="058D19D3"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$1.37 B</w:t>
            </w:r>
          </w:p>
        </w:tc>
        <w:tc>
          <w:tcPr>
            <w:tcW w:w="1170" w:type="dxa"/>
            <w:tcBorders>
              <w:top w:val="single" w:sz="18" w:space="0" w:color="000000"/>
              <w:left w:val="single" w:sz="8" w:space="0" w:color="auto"/>
              <w:bottom w:val="single" w:sz="4" w:space="0" w:color="000000"/>
              <w:right w:val="single" w:sz="18" w:space="0" w:color="auto"/>
            </w:tcBorders>
            <w:vAlign w:val="center"/>
          </w:tcPr>
          <w:p w14:paraId="44CA47C1" w14:textId="1D766EE5"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+5.6%</w:t>
            </w:r>
          </w:p>
        </w:tc>
        <w:tc>
          <w:tcPr>
            <w:tcW w:w="1950" w:type="dxa"/>
            <w:tcBorders>
              <w:top w:val="single" w:sz="18" w:space="0" w:color="000000"/>
              <w:left w:val="single" w:sz="18" w:space="0" w:color="auto"/>
              <w:bottom w:val="single" w:sz="4" w:space="0" w:color="000000"/>
              <w:right w:val="single" w:sz="12" w:space="0" w:color="auto"/>
            </w:tcBorders>
            <w:vAlign w:val="center"/>
          </w:tcPr>
          <w:p w14:paraId="1F2FA0B1" w14:textId="44ADDED7" w:rsidR="001B4ADA" w:rsidRPr="006E1187" w:rsidRDefault="001B4AD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Cabot</w:t>
            </w:r>
          </w:p>
        </w:tc>
        <w:tc>
          <w:tcPr>
            <w:tcW w:w="1170" w:type="dxa"/>
            <w:tcBorders>
              <w:top w:val="single" w:sz="18" w:space="0" w:color="000000"/>
              <w:left w:val="single" w:sz="12" w:space="0" w:color="auto"/>
              <w:bottom w:val="single" w:sz="4" w:space="0" w:color="000000"/>
              <w:right w:val="single" w:sz="8" w:space="0" w:color="000000"/>
            </w:tcBorders>
            <w:vAlign w:val="center"/>
          </w:tcPr>
          <w:p w14:paraId="01345728" w14:textId="36A5E5E3"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$33.2 M</w:t>
            </w:r>
          </w:p>
        </w:tc>
        <w:tc>
          <w:tcPr>
            <w:tcW w:w="1170" w:type="dxa"/>
            <w:tcBorders>
              <w:top w:val="single" w:sz="18" w:space="0" w:color="000000"/>
              <w:left w:val="single" w:sz="8" w:space="0" w:color="000000"/>
              <w:bottom w:val="single" w:sz="4" w:space="0" w:color="000000"/>
              <w:right w:val="single" w:sz="12" w:space="0" w:color="000000"/>
            </w:tcBorders>
            <w:vAlign w:val="center"/>
          </w:tcPr>
          <w:p w14:paraId="50005D7E" w14:textId="5F239C51"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-4.9%</w:t>
            </w:r>
          </w:p>
        </w:tc>
      </w:tr>
      <w:tr w:rsidR="001B4ADA" w:rsidRPr="006E1187" w14:paraId="70699FB9" w14:textId="77777777" w:rsidTr="00E3798E">
        <w:trPr>
          <w:jc w:val="center"/>
        </w:trPr>
        <w:tc>
          <w:tcPr>
            <w:tcW w:w="1905" w:type="dxa"/>
            <w:tcBorders>
              <w:top w:val="single" w:sz="4" w:space="0" w:color="000000"/>
              <w:left w:val="single" w:sz="12" w:space="0" w:color="000000"/>
              <w:bottom w:val="single" w:sz="4" w:space="0" w:color="000000"/>
              <w:right w:val="single" w:sz="12" w:space="0" w:color="auto"/>
            </w:tcBorders>
            <w:vAlign w:val="center"/>
          </w:tcPr>
          <w:p w14:paraId="21EC88DB" w14:textId="4D757200" w:rsidR="001B4ADA" w:rsidRPr="006E1187" w:rsidRDefault="001B4ADA"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Land O Lakes</w:t>
            </w:r>
          </w:p>
        </w:tc>
        <w:tc>
          <w:tcPr>
            <w:tcW w:w="1170" w:type="dxa"/>
            <w:tcBorders>
              <w:top w:val="single" w:sz="4" w:space="0" w:color="000000"/>
              <w:left w:val="single" w:sz="12" w:space="0" w:color="auto"/>
              <w:bottom w:val="single" w:sz="4" w:space="0" w:color="000000"/>
              <w:right w:val="single" w:sz="8" w:space="0" w:color="auto"/>
            </w:tcBorders>
            <w:vAlign w:val="center"/>
          </w:tcPr>
          <w:p w14:paraId="0A4B0577" w14:textId="630CFABB"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sidRPr="006E1187">
              <w:rPr>
                <w:rFonts w:ascii="Verdana" w:eastAsia="Times New Roman" w:hAnsi="Verdana"/>
                <w:sz w:val="20"/>
                <w:szCs w:val="20"/>
              </w:rPr>
              <w:t>$687.8 M</w:t>
            </w:r>
          </w:p>
        </w:tc>
        <w:tc>
          <w:tcPr>
            <w:tcW w:w="1170" w:type="dxa"/>
            <w:tcBorders>
              <w:top w:val="single" w:sz="4" w:space="0" w:color="000000"/>
              <w:left w:val="single" w:sz="8" w:space="0" w:color="auto"/>
              <w:bottom w:val="single" w:sz="4" w:space="0" w:color="000000"/>
              <w:right w:val="single" w:sz="18" w:space="0" w:color="auto"/>
            </w:tcBorders>
            <w:vAlign w:val="center"/>
          </w:tcPr>
          <w:p w14:paraId="7B1D59C7" w14:textId="63CE1423"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+1.7%</w:t>
            </w:r>
          </w:p>
        </w:tc>
        <w:tc>
          <w:tcPr>
            <w:tcW w:w="1950" w:type="dxa"/>
            <w:tcBorders>
              <w:top w:val="single" w:sz="4" w:space="0" w:color="000000"/>
              <w:left w:val="single" w:sz="18" w:space="0" w:color="auto"/>
              <w:bottom w:val="single" w:sz="4" w:space="0" w:color="000000"/>
              <w:right w:val="single" w:sz="12" w:space="0" w:color="auto"/>
            </w:tcBorders>
            <w:vAlign w:val="center"/>
          </w:tcPr>
          <w:p w14:paraId="300A264C" w14:textId="2722946E" w:rsidR="001B4ADA" w:rsidRPr="006E1187" w:rsidRDefault="001B4AD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Darigold</w:t>
            </w:r>
          </w:p>
        </w:tc>
        <w:tc>
          <w:tcPr>
            <w:tcW w:w="1170" w:type="dxa"/>
            <w:tcBorders>
              <w:top w:val="single" w:sz="4" w:space="0" w:color="000000"/>
              <w:left w:val="single" w:sz="12" w:space="0" w:color="auto"/>
              <w:bottom w:val="single" w:sz="4" w:space="0" w:color="000000"/>
              <w:right w:val="single" w:sz="8" w:space="0" w:color="000000"/>
            </w:tcBorders>
            <w:vAlign w:val="center"/>
          </w:tcPr>
          <w:p w14:paraId="106C06F5" w14:textId="0ED9D8C6" w:rsidR="001B4ADA" w:rsidRPr="006E1187" w:rsidRDefault="001B4ADA" w:rsidP="00E3798E">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sidRPr="006E1187">
              <w:rPr>
                <w:rFonts w:ascii="Verdana" w:eastAsia="Times New Roman" w:hAnsi="Verdana"/>
                <w:sz w:val="20"/>
                <w:szCs w:val="20"/>
              </w:rPr>
              <w:t>$24.7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1B539436" w14:textId="6591CA43" w:rsidR="001B4ADA" w:rsidRPr="006E1187" w:rsidRDefault="001B4ADA" w:rsidP="00E3798E">
            <w:pPr>
              <w:widowControl w:val="0"/>
              <w:tabs>
                <w:tab w:val="left" w:pos="220"/>
                <w:tab w:val="left" w:pos="720"/>
              </w:tabs>
              <w:autoSpaceDE w:val="0"/>
              <w:autoSpaceDN w:val="0"/>
              <w:adjustRightInd w:val="0"/>
              <w:spacing w:after="0" w:line="240" w:lineRule="auto"/>
              <w:ind w:left="36"/>
              <w:contextualSpacing/>
              <w:jc w:val="right"/>
              <w:rPr>
                <w:rFonts w:ascii="Verdana" w:eastAsia="Times New Roman" w:hAnsi="Verdana"/>
                <w:sz w:val="20"/>
                <w:szCs w:val="20"/>
              </w:rPr>
            </w:pPr>
            <w:r w:rsidRPr="006E1187">
              <w:rPr>
                <w:rFonts w:ascii="Verdana" w:eastAsia="Times New Roman" w:hAnsi="Verdana"/>
                <w:sz w:val="20"/>
                <w:szCs w:val="20"/>
              </w:rPr>
              <w:t>+9.0%</w:t>
            </w:r>
          </w:p>
        </w:tc>
      </w:tr>
      <w:tr w:rsidR="001B4ADA" w:rsidRPr="006E1187" w14:paraId="0F9FB133" w14:textId="77777777" w:rsidTr="00E3798E">
        <w:trPr>
          <w:jc w:val="center"/>
        </w:trPr>
        <w:tc>
          <w:tcPr>
            <w:tcW w:w="1905" w:type="dxa"/>
            <w:tcBorders>
              <w:top w:val="single" w:sz="4" w:space="0" w:color="000000"/>
              <w:left w:val="single" w:sz="12" w:space="0" w:color="000000"/>
              <w:bottom w:val="single" w:sz="4" w:space="0" w:color="000000"/>
              <w:right w:val="single" w:sz="12" w:space="0" w:color="auto"/>
            </w:tcBorders>
            <w:vAlign w:val="center"/>
          </w:tcPr>
          <w:p w14:paraId="1F2180AF" w14:textId="630D93F9" w:rsidR="001B4ADA" w:rsidRPr="006E1187" w:rsidRDefault="001B4ADA"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Kerrygold</w:t>
            </w:r>
          </w:p>
        </w:tc>
        <w:tc>
          <w:tcPr>
            <w:tcW w:w="1170" w:type="dxa"/>
            <w:tcBorders>
              <w:top w:val="single" w:sz="4" w:space="0" w:color="000000"/>
              <w:left w:val="single" w:sz="12" w:space="0" w:color="auto"/>
              <w:bottom w:val="single" w:sz="4" w:space="0" w:color="000000"/>
              <w:right w:val="single" w:sz="8" w:space="0" w:color="auto"/>
            </w:tcBorders>
            <w:vAlign w:val="center"/>
          </w:tcPr>
          <w:p w14:paraId="63527271" w14:textId="00BDFAAC"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$155.7 M</w:t>
            </w:r>
          </w:p>
        </w:tc>
        <w:tc>
          <w:tcPr>
            <w:tcW w:w="1170" w:type="dxa"/>
            <w:tcBorders>
              <w:top w:val="single" w:sz="4" w:space="0" w:color="000000"/>
              <w:left w:val="single" w:sz="8" w:space="0" w:color="auto"/>
              <w:bottom w:val="single" w:sz="4" w:space="0" w:color="000000"/>
              <w:right w:val="single" w:sz="18" w:space="0" w:color="auto"/>
            </w:tcBorders>
            <w:vAlign w:val="center"/>
          </w:tcPr>
          <w:p w14:paraId="6CFD5415" w14:textId="7721EB32"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+39.5%</w:t>
            </w:r>
          </w:p>
        </w:tc>
        <w:tc>
          <w:tcPr>
            <w:tcW w:w="1950" w:type="dxa"/>
            <w:tcBorders>
              <w:top w:val="single" w:sz="4" w:space="0" w:color="000000"/>
              <w:left w:val="single" w:sz="18" w:space="0" w:color="auto"/>
              <w:bottom w:val="single" w:sz="4" w:space="0" w:color="000000"/>
              <w:right w:val="single" w:sz="12" w:space="0" w:color="auto"/>
            </w:tcBorders>
            <w:vAlign w:val="center"/>
          </w:tcPr>
          <w:p w14:paraId="4D8F8D35" w14:textId="37B55DC9" w:rsidR="001B4ADA" w:rsidRPr="006E1187" w:rsidRDefault="001B4AD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Crystal Farms</w:t>
            </w:r>
          </w:p>
        </w:tc>
        <w:tc>
          <w:tcPr>
            <w:tcW w:w="1170" w:type="dxa"/>
            <w:tcBorders>
              <w:top w:val="single" w:sz="4" w:space="0" w:color="000000"/>
              <w:left w:val="single" w:sz="12" w:space="0" w:color="auto"/>
              <w:bottom w:val="single" w:sz="4" w:space="0" w:color="000000"/>
              <w:right w:val="single" w:sz="8" w:space="0" w:color="000000"/>
            </w:tcBorders>
            <w:vAlign w:val="center"/>
          </w:tcPr>
          <w:p w14:paraId="17291388" w14:textId="0871B57F"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$21.2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1DDF03C0" w14:textId="65D83ACA"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-16.5%</w:t>
            </w:r>
          </w:p>
        </w:tc>
      </w:tr>
      <w:tr w:rsidR="001B4ADA" w:rsidRPr="006E1187" w14:paraId="501AF5B3" w14:textId="77777777" w:rsidTr="00E3798E">
        <w:trPr>
          <w:jc w:val="center"/>
        </w:trPr>
        <w:tc>
          <w:tcPr>
            <w:tcW w:w="1905" w:type="dxa"/>
            <w:tcBorders>
              <w:top w:val="single" w:sz="4" w:space="0" w:color="000000"/>
              <w:left w:val="single" w:sz="12" w:space="0" w:color="000000"/>
              <w:bottom w:val="single" w:sz="4" w:space="0" w:color="000000"/>
              <w:right w:val="single" w:sz="12" w:space="0" w:color="auto"/>
            </w:tcBorders>
            <w:vAlign w:val="center"/>
          </w:tcPr>
          <w:p w14:paraId="7C5D99D6" w14:textId="33BD0740" w:rsidR="001B4ADA" w:rsidRPr="006E1187" w:rsidRDefault="001B4ADA"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Challenge Butter</w:t>
            </w:r>
          </w:p>
        </w:tc>
        <w:tc>
          <w:tcPr>
            <w:tcW w:w="1170" w:type="dxa"/>
            <w:tcBorders>
              <w:top w:val="single" w:sz="4" w:space="0" w:color="000000"/>
              <w:left w:val="single" w:sz="12" w:space="0" w:color="auto"/>
              <w:bottom w:val="single" w:sz="4" w:space="0" w:color="000000"/>
              <w:right w:val="single" w:sz="8" w:space="0" w:color="auto"/>
            </w:tcBorders>
            <w:vAlign w:val="center"/>
          </w:tcPr>
          <w:p w14:paraId="2DE39C4E" w14:textId="65691FCC"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$124.6 M</w:t>
            </w:r>
          </w:p>
        </w:tc>
        <w:tc>
          <w:tcPr>
            <w:tcW w:w="1170" w:type="dxa"/>
            <w:tcBorders>
              <w:top w:val="single" w:sz="4" w:space="0" w:color="000000"/>
              <w:left w:val="single" w:sz="8" w:space="0" w:color="auto"/>
              <w:bottom w:val="single" w:sz="4" w:space="0" w:color="000000"/>
              <w:right w:val="single" w:sz="18" w:space="0" w:color="auto"/>
            </w:tcBorders>
            <w:vAlign w:val="center"/>
          </w:tcPr>
          <w:p w14:paraId="0FF03607" w14:textId="311D82F4"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-2.4%</w:t>
            </w:r>
          </w:p>
        </w:tc>
        <w:tc>
          <w:tcPr>
            <w:tcW w:w="1950" w:type="dxa"/>
            <w:tcBorders>
              <w:top w:val="single" w:sz="4" w:space="0" w:color="000000"/>
              <w:left w:val="single" w:sz="18" w:space="0" w:color="auto"/>
              <w:bottom w:val="single" w:sz="4" w:space="0" w:color="000000"/>
              <w:right w:val="single" w:sz="12" w:space="0" w:color="auto"/>
            </w:tcBorders>
            <w:vAlign w:val="center"/>
          </w:tcPr>
          <w:p w14:paraId="0D556E48" w14:textId="0EA6880E" w:rsidR="001B4ADA" w:rsidRPr="006E1187" w:rsidRDefault="001B4AD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Organic Valley</w:t>
            </w:r>
          </w:p>
        </w:tc>
        <w:tc>
          <w:tcPr>
            <w:tcW w:w="1170" w:type="dxa"/>
            <w:tcBorders>
              <w:top w:val="single" w:sz="4" w:space="0" w:color="000000"/>
              <w:left w:val="single" w:sz="12" w:space="0" w:color="auto"/>
              <w:bottom w:val="single" w:sz="4" w:space="0" w:color="000000"/>
              <w:right w:val="single" w:sz="8" w:space="0" w:color="000000"/>
            </w:tcBorders>
            <w:vAlign w:val="center"/>
          </w:tcPr>
          <w:p w14:paraId="21747B6D" w14:textId="2C1A10C5" w:rsidR="001B4ADA" w:rsidRPr="006E1187" w:rsidRDefault="001B4ADA" w:rsidP="00E3798E">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sidRPr="006E1187">
              <w:rPr>
                <w:rFonts w:ascii="Verdana" w:eastAsia="Times New Roman" w:hAnsi="Verdana"/>
                <w:sz w:val="20"/>
                <w:szCs w:val="20"/>
              </w:rPr>
              <w:t>$16.6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0CAFD214" w14:textId="6E387429" w:rsidR="001B4ADA" w:rsidRPr="006E1187" w:rsidRDefault="001B4ADA" w:rsidP="00E3798E">
            <w:pPr>
              <w:widowControl w:val="0"/>
              <w:tabs>
                <w:tab w:val="left" w:pos="220"/>
                <w:tab w:val="left" w:pos="720"/>
              </w:tabs>
              <w:autoSpaceDE w:val="0"/>
              <w:autoSpaceDN w:val="0"/>
              <w:adjustRightInd w:val="0"/>
              <w:spacing w:after="0" w:line="240" w:lineRule="auto"/>
              <w:ind w:left="66"/>
              <w:contextualSpacing/>
              <w:jc w:val="right"/>
              <w:rPr>
                <w:rFonts w:ascii="Verdana" w:eastAsia="Times New Roman" w:hAnsi="Verdana"/>
                <w:sz w:val="20"/>
                <w:szCs w:val="20"/>
              </w:rPr>
            </w:pPr>
            <w:r w:rsidRPr="006E1187">
              <w:rPr>
                <w:rFonts w:ascii="Verdana" w:eastAsia="Times New Roman" w:hAnsi="Verdana"/>
                <w:sz w:val="20"/>
                <w:szCs w:val="20"/>
              </w:rPr>
              <w:t>+2.6%</w:t>
            </w:r>
          </w:p>
        </w:tc>
      </w:tr>
      <w:tr w:rsidR="001B4ADA" w:rsidRPr="006E1187" w14:paraId="72431683" w14:textId="77777777" w:rsidTr="00E3798E">
        <w:trPr>
          <w:jc w:val="center"/>
        </w:trPr>
        <w:tc>
          <w:tcPr>
            <w:tcW w:w="1905" w:type="dxa"/>
            <w:tcBorders>
              <w:top w:val="single" w:sz="4" w:space="0" w:color="000000"/>
              <w:left w:val="single" w:sz="12" w:space="0" w:color="000000"/>
              <w:bottom w:val="single" w:sz="4" w:space="0" w:color="000000"/>
              <w:right w:val="single" w:sz="12" w:space="0" w:color="auto"/>
            </w:tcBorders>
            <w:vAlign w:val="center"/>
          </w:tcPr>
          <w:p w14:paraId="3550A2DA" w14:textId="73B272C8" w:rsidR="001B4ADA" w:rsidRPr="006E1187" w:rsidRDefault="001B4ADA"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Breakstone’s</w:t>
            </w:r>
          </w:p>
        </w:tc>
        <w:tc>
          <w:tcPr>
            <w:tcW w:w="1170" w:type="dxa"/>
            <w:tcBorders>
              <w:top w:val="single" w:sz="4" w:space="0" w:color="000000"/>
              <w:left w:val="single" w:sz="12" w:space="0" w:color="auto"/>
              <w:bottom w:val="single" w:sz="4" w:space="0" w:color="000000"/>
              <w:right w:val="single" w:sz="8" w:space="0" w:color="auto"/>
            </w:tcBorders>
            <w:vAlign w:val="center"/>
          </w:tcPr>
          <w:p w14:paraId="71846254" w14:textId="2DD17D0D"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$39.9 M</w:t>
            </w:r>
          </w:p>
        </w:tc>
        <w:tc>
          <w:tcPr>
            <w:tcW w:w="1170" w:type="dxa"/>
            <w:tcBorders>
              <w:top w:val="single" w:sz="4" w:space="0" w:color="000000"/>
              <w:left w:val="single" w:sz="8" w:space="0" w:color="auto"/>
              <w:bottom w:val="single" w:sz="4" w:space="0" w:color="000000"/>
              <w:right w:val="single" w:sz="18" w:space="0" w:color="auto"/>
            </w:tcBorders>
            <w:vAlign w:val="center"/>
          </w:tcPr>
          <w:p w14:paraId="7EBD283F" w14:textId="1EEEFD01"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+7.1%</w:t>
            </w:r>
          </w:p>
        </w:tc>
        <w:tc>
          <w:tcPr>
            <w:tcW w:w="1950" w:type="dxa"/>
            <w:tcBorders>
              <w:top w:val="single" w:sz="4" w:space="0" w:color="000000"/>
              <w:left w:val="single" w:sz="18" w:space="0" w:color="auto"/>
              <w:bottom w:val="single" w:sz="4" w:space="0" w:color="000000"/>
              <w:right w:val="single" w:sz="12" w:space="0" w:color="auto"/>
            </w:tcBorders>
            <w:vAlign w:val="center"/>
          </w:tcPr>
          <w:p w14:paraId="39BE0348" w14:textId="77777777" w:rsidR="001B4ADA" w:rsidRPr="006E1187" w:rsidRDefault="001B4AD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Total category</w:t>
            </w:r>
          </w:p>
        </w:tc>
        <w:tc>
          <w:tcPr>
            <w:tcW w:w="1170" w:type="dxa"/>
            <w:tcBorders>
              <w:top w:val="single" w:sz="4" w:space="0" w:color="000000"/>
              <w:left w:val="single" w:sz="12" w:space="0" w:color="auto"/>
              <w:bottom w:val="single" w:sz="4" w:space="0" w:color="000000"/>
              <w:right w:val="single" w:sz="8" w:space="0" w:color="000000"/>
            </w:tcBorders>
            <w:vAlign w:val="center"/>
          </w:tcPr>
          <w:p w14:paraId="4990A783" w14:textId="32FC2638"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$2.76 B</w:t>
            </w:r>
          </w:p>
        </w:tc>
        <w:tc>
          <w:tcPr>
            <w:tcW w:w="1170" w:type="dxa"/>
            <w:tcBorders>
              <w:top w:val="single" w:sz="4" w:space="0" w:color="000000"/>
              <w:left w:val="single" w:sz="8" w:space="0" w:color="000000"/>
              <w:bottom w:val="single" w:sz="4" w:space="0" w:color="000000"/>
              <w:right w:val="single" w:sz="12" w:space="0" w:color="000000"/>
            </w:tcBorders>
            <w:vAlign w:val="center"/>
          </w:tcPr>
          <w:p w14:paraId="4D773BEF" w14:textId="4015C804"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+5.8%</w:t>
            </w:r>
          </w:p>
        </w:tc>
      </w:tr>
      <w:tr w:rsidR="001B4ADA" w:rsidRPr="006E1187" w14:paraId="3362FFFD" w14:textId="77777777" w:rsidTr="00E3798E">
        <w:trPr>
          <w:jc w:val="center"/>
        </w:trPr>
        <w:tc>
          <w:tcPr>
            <w:tcW w:w="1905" w:type="dxa"/>
            <w:tcBorders>
              <w:top w:val="single" w:sz="4" w:space="0" w:color="000000"/>
              <w:left w:val="single" w:sz="12" w:space="0" w:color="000000"/>
              <w:bottom w:val="single" w:sz="12" w:space="0" w:color="000000"/>
              <w:right w:val="single" w:sz="12" w:space="0" w:color="auto"/>
            </w:tcBorders>
            <w:vAlign w:val="center"/>
          </w:tcPr>
          <w:p w14:paraId="12C3A5DD" w14:textId="6ADBD473" w:rsidR="001B4ADA" w:rsidRPr="006E1187" w:rsidRDefault="001B4ADA"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Tillamook</w:t>
            </w:r>
          </w:p>
        </w:tc>
        <w:tc>
          <w:tcPr>
            <w:tcW w:w="1170" w:type="dxa"/>
            <w:tcBorders>
              <w:top w:val="single" w:sz="4" w:space="0" w:color="000000"/>
              <w:left w:val="single" w:sz="12" w:space="0" w:color="auto"/>
              <w:bottom w:val="single" w:sz="12" w:space="0" w:color="000000"/>
              <w:right w:val="single" w:sz="8" w:space="0" w:color="auto"/>
            </w:tcBorders>
            <w:vAlign w:val="center"/>
          </w:tcPr>
          <w:p w14:paraId="76BED5F1" w14:textId="379EBF13"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$34.1 M</w:t>
            </w:r>
          </w:p>
        </w:tc>
        <w:tc>
          <w:tcPr>
            <w:tcW w:w="1170" w:type="dxa"/>
            <w:tcBorders>
              <w:top w:val="single" w:sz="4" w:space="0" w:color="000000"/>
              <w:left w:val="single" w:sz="8" w:space="0" w:color="auto"/>
              <w:bottom w:val="single" w:sz="12" w:space="0" w:color="000000"/>
              <w:right w:val="single" w:sz="18" w:space="0" w:color="auto"/>
            </w:tcBorders>
            <w:vAlign w:val="center"/>
          </w:tcPr>
          <w:p w14:paraId="12226368" w14:textId="49A0B031" w:rsidR="001B4ADA" w:rsidRPr="006E1187" w:rsidRDefault="001B4ADA"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-0.5%</w:t>
            </w:r>
          </w:p>
        </w:tc>
        <w:tc>
          <w:tcPr>
            <w:tcW w:w="1950" w:type="dxa"/>
            <w:tcBorders>
              <w:top w:val="single" w:sz="4" w:space="0" w:color="000000"/>
              <w:left w:val="single" w:sz="18" w:space="0" w:color="auto"/>
              <w:bottom w:val="single" w:sz="12" w:space="0" w:color="000000"/>
              <w:right w:val="single" w:sz="12" w:space="0" w:color="auto"/>
            </w:tcBorders>
            <w:shd w:val="clear" w:color="auto" w:fill="D9D9D9" w:themeFill="background1" w:themeFillShade="D9"/>
            <w:vAlign w:val="center"/>
          </w:tcPr>
          <w:p w14:paraId="4C4C5323" w14:textId="77777777" w:rsidR="001B4ADA" w:rsidRPr="006E1187" w:rsidRDefault="001B4AD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p>
        </w:tc>
        <w:tc>
          <w:tcPr>
            <w:tcW w:w="1170" w:type="dxa"/>
            <w:tcBorders>
              <w:top w:val="single" w:sz="4" w:space="0" w:color="000000"/>
              <w:left w:val="single" w:sz="12" w:space="0" w:color="auto"/>
              <w:bottom w:val="single" w:sz="12" w:space="0" w:color="000000"/>
              <w:right w:val="single" w:sz="8" w:space="0" w:color="000000"/>
            </w:tcBorders>
            <w:shd w:val="clear" w:color="auto" w:fill="D9D9D9" w:themeFill="background1" w:themeFillShade="D9"/>
          </w:tcPr>
          <w:p w14:paraId="271E550F" w14:textId="77777777" w:rsidR="001B4ADA" w:rsidRPr="006E1187" w:rsidRDefault="001B4AD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c>
          <w:tcPr>
            <w:tcW w:w="1170" w:type="dxa"/>
            <w:tcBorders>
              <w:top w:val="single" w:sz="4" w:space="0" w:color="000000"/>
              <w:left w:val="single" w:sz="8" w:space="0" w:color="000000"/>
              <w:bottom w:val="single" w:sz="12" w:space="0" w:color="000000"/>
              <w:right w:val="single" w:sz="12" w:space="0" w:color="000000"/>
            </w:tcBorders>
            <w:shd w:val="clear" w:color="auto" w:fill="D9D9D9" w:themeFill="background1" w:themeFillShade="D9"/>
            <w:vAlign w:val="center"/>
          </w:tcPr>
          <w:p w14:paraId="51B1F724" w14:textId="77777777" w:rsidR="001B4ADA" w:rsidRPr="006E1187" w:rsidRDefault="001B4AD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r>
    </w:tbl>
    <w:p w14:paraId="78035390" w14:textId="77777777" w:rsidR="001B4ADA" w:rsidRPr="006E1187" w:rsidRDefault="001B4ADA" w:rsidP="001B4ADA">
      <w:pPr>
        <w:tabs>
          <w:tab w:val="left" w:pos="450"/>
        </w:tabs>
        <w:spacing w:after="0" w:line="240" w:lineRule="auto"/>
        <w:contextualSpacing/>
        <w:mirrorIndents/>
        <w:rPr>
          <w:rFonts w:ascii="Verdana" w:hAnsi="Verdana"/>
          <w:sz w:val="16"/>
          <w:szCs w:val="16"/>
        </w:rPr>
      </w:pPr>
      <w:r w:rsidRPr="006E1187">
        <w:rPr>
          <w:rFonts w:ascii="Verdana" w:hAnsi="Verdana"/>
          <w:i/>
          <w:sz w:val="16"/>
          <w:szCs w:val="16"/>
        </w:rPr>
        <w:tab/>
        <w:t>Dairy Foods</w:t>
      </w:r>
      <w:r w:rsidRPr="006E1187">
        <w:rPr>
          <w:rFonts w:ascii="Verdana" w:hAnsi="Verdana"/>
          <w:sz w:val="16"/>
          <w:szCs w:val="16"/>
        </w:rPr>
        <w:t>, November 2018</w:t>
      </w:r>
      <w:r w:rsidRPr="006E1187">
        <w:rPr>
          <w:rFonts w:ascii="Verdana" w:hAnsi="Verdana"/>
          <w:sz w:val="16"/>
          <w:szCs w:val="16"/>
        </w:rPr>
        <w:tab/>
      </w:r>
      <w:r w:rsidRPr="006E1187">
        <w:rPr>
          <w:rFonts w:ascii="Verdana" w:hAnsi="Verdana"/>
          <w:sz w:val="16"/>
          <w:szCs w:val="16"/>
        </w:rPr>
        <w:tab/>
      </w:r>
      <w:r w:rsidRPr="006E1187">
        <w:rPr>
          <w:rFonts w:ascii="Verdana" w:hAnsi="Verdana"/>
          <w:sz w:val="16"/>
          <w:szCs w:val="16"/>
        </w:rPr>
        <w:tab/>
      </w:r>
      <w:r w:rsidRPr="006E1187">
        <w:rPr>
          <w:rFonts w:ascii="Verdana" w:hAnsi="Verdana"/>
          <w:sz w:val="16"/>
          <w:szCs w:val="16"/>
        </w:rPr>
        <w:tab/>
      </w:r>
      <w:r w:rsidRPr="006E1187">
        <w:rPr>
          <w:rFonts w:ascii="Verdana" w:hAnsi="Verdana"/>
          <w:sz w:val="16"/>
          <w:szCs w:val="16"/>
        </w:rPr>
        <w:tab/>
        <w:t>*for 52 weeks ending August 12, 2018</w:t>
      </w:r>
    </w:p>
    <w:p w14:paraId="048DA1DC" w14:textId="68357F6D" w:rsidR="0024297F" w:rsidRPr="006E1187" w:rsidRDefault="0024297F" w:rsidP="007B1A70">
      <w:pPr>
        <w:spacing w:after="0" w:line="240" w:lineRule="auto"/>
        <w:contextualSpacing/>
        <w:mirrorIndents/>
        <w:rPr>
          <w:rFonts w:ascii="Verdana" w:hAnsi="Verdana"/>
          <w:sz w:val="20"/>
          <w:szCs w:val="20"/>
        </w:rPr>
      </w:pPr>
    </w:p>
    <w:p w14:paraId="67666A7D" w14:textId="5F101AD8" w:rsidR="00E22E5D" w:rsidRPr="006E1187" w:rsidRDefault="00E22E5D" w:rsidP="007B1A70">
      <w:pPr>
        <w:spacing w:after="0" w:line="240" w:lineRule="auto"/>
        <w:contextualSpacing/>
        <w:mirrorIndents/>
        <w:rPr>
          <w:rFonts w:ascii="Verdana" w:hAnsi="Verdana"/>
          <w:sz w:val="20"/>
          <w:szCs w:val="20"/>
        </w:rPr>
      </w:pPr>
    </w:p>
    <w:p w14:paraId="07E2BDB8" w14:textId="1278D5B4" w:rsidR="00E22E5D" w:rsidRDefault="00E22E5D" w:rsidP="007B1A70">
      <w:pPr>
        <w:spacing w:after="0" w:line="240" w:lineRule="auto"/>
        <w:contextualSpacing/>
        <w:mirrorIndents/>
        <w:rPr>
          <w:rFonts w:ascii="Verdana" w:hAnsi="Verdana"/>
          <w:sz w:val="20"/>
          <w:szCs w:val="20"/>
        </w:rPr>
      </w:pPr>
    </w:p>
    <w:p w14:paraId="40AB21DF" w14:textId="77777777" w:rsidR="00E3798E" w:rsidRPr="006E1187" w:rsidRDefault="00E3798E" w:rsidP="007B1A70">
      <w:pPr>
        <w:spacing w:after="0" w:line="240" w:lineRule="auto"/>
        <w:contextualSpacing/>
        <w:mirrorIndents/>
        <w:rPr>
          <w:rFonts w:ascii="Verdana" w:hAnsi="Verdana"/>
          <w:sz w:val="20"/>
          <w:szCs w:val="20"/>
        </w:rPr>
      </w:pPr>
    </w:p>
    <w:p w14:paraId="4F1D2894" w14:textId="588BC190" w:rsidR="007B1A70" w:rsidRPr="006E1187" w:rsidRDefault="007B1A70" w:rsidP="00720874">
      <w:pPr>
        <w:spacing w:after="0" w:line="240" w:lineRule="auto"/>
        <w:contextualSpacing/>
        <w:mirrorIndents/>
        <w:jc w:val="center"/>
        <w:rPr>
          <w:rFonts w:ascii="Verdana" w:hAnsi="Verdana"/>
          <w:b/>
          <w:color w:val="0070C0"/>
          <w:sz w:val="20"/>
          <w:szCs w:val="20"/>
        </w:rPr>
      </w:pPr>
      <w:r w:rsidRPr="006E1187">
        <w:rPr>
          <w:rFonts w:ascii="Verdana" w:hAnsi="Verdana"/>
          <w:b/>
          <w:color w:val="0070C0"/>
          <w:sz w:val="20"/>
          <w:szCs w:val="20"/>
        </w:rPr>
        <w:lastRenderedPageBreak/>
        <w:t>Cultured Dairy Products Sales Are Mixed</w:t>
      </w:r>
    </w:p>
    <w:p w14:paraId="2CAA911B" w14:textId="1439A15A" w:rsidR="007B1A70" w:rsidRPr="006E1187" w:rsidRDefault="007B1A70" w:rsidP="007B1A70">
      <w:pPr>
        <w:spacing w:after="0" w:line="240" w:lineRule="auto"/>
        <w:contextualSpacing/>
        <w:mirrorIndents/>
        <w:rPr>
          <w:rFonts w:ascii="Verdana" w:hAnsi="Verdana"/>
          <w:sz w:val="20"/>
          <w:szCs w:val="20"/>
        </w:rPr>
      </w:pPr>
    </w:p>
    <w:p w14:paraId="3B4BD41D" w14:textId="305ED86A" w:rsidR="00BF45CB" w:rsidRPr="006E1187" w:rsidRDefault="00BF45CB" w:rsidP="00BF45CB">
      <w:pPr>
        <w:pStyle w:val="ListParagraph"/>
        <w:numPr>
          <w:ilvl w:val="0"/>
          <w:numId w:val="6"/>
        </w:numPr>
        <w:spacing w:after="0" w:line="240" w:lineRule="auto"/>
        <w:mirrorIndents/>
        <w:rPr>
          <w:rFonts w:ascii="Verdana" w:hAnsi="Verdana"/>
          <w:sz w:val="20"/>
          <w:szCs w:val="20"/>
        </w:rPr>
      </w:pPr>
      <w:r w:rsidRPr="006E1187">
        <w:rPr>
          <w:rFonts w:ascii="Verdana" w:hAnsi="Verdana"/>
          <w:sz w:val="20"/>
          <w:szCs w:val="20"/>
        </w:rPr>
        <w:t xml:space="preserve">The cultured dairy segment </w:t>
      </w:r>
      <w:r w:rsidR="00C9105A">
        <w:rPr>
          <w:rFonts w:ascii="Verdana" w:hAnsi="Verdana"/>
          <w:sz w:val="20"/>
          <w:szCs w:val="20"/>
        </w:rPr>
        <w:t>did</w:t>
      </w:r>
      <w:r w:rsidRPr="006E1187">
        <w:rPr>
          <w:rFonts w:ascii="Verdana" w:hAnsi="Verdana"/>
          <w:sz w:val="20"/>
          <w:szCs w:val="20"/>
        </w:rPr>
        <w:t xml:space="preserve"> not performed well during the past year and a major effect is consumers’ increasing preference for yogurt drinks. Mintel forecasts yogurt drink sales will increase 58% by 2022.</w:t>
      </w:r>
    </w:p>
    <w:p w14:paraId="0762F57E" w14:textId="77777777" w:rsidR="00BF45CB" w:rsidRPr="006E1187" w:rsidRDefault="00BF45CB" w:rsidP="00BF45CB">
      <w:pPr>
        <w:pStyle w:val="ListParagraph"/>
        <w:spacing w:after="0" w:line="240" w:lineRule="auto"/>
        <w:ind w:left="360"/>
        <w:mirrorIndents/>
        <w:rPr>
          <w:rFonts w:ascii="Verdana" w:hAnsi="Verdana"/>
          <w:sz w:val="20"/>
          <w:szCs w:val="20"/>
        </w:rPr>
      </w:pPr>
    </w:p>
    <w:p w14:paraId="01EFC467" w14:textId="51256FEB" w:rsidR="00720874" w:rsidRPr="006E1187" w:rsidRDefault="00BF45CB" w:rsidP="00720874">
      <w:pPr>
        <w:pStyle w:val="ListParagraph"/>
        <w:numPr>
          <w:ilvl w:val="0"/>
          <w:numId w:val="6"/>
        </w:numPr>
        <w:spacing w:after="0" w:line="240" w:lineRule="auto"/>
        <w:mirrorIndents/>
        <w:rPr>
          <w:rFonts w:ascii="Verdana" w:hAnsi="Verdana"/>
          <w:sz w:val="20"/>
          <w:szCs w:val="20"/>
        </w:rPr>
      </w:pPr>
      <w:r w:rsidRPr="006E1187">
        <w:rPr>
          <w:rFonts w:ascii="Verdana" w:hAnsi="Verdana"/>
          <w:sz w:val="20"/>
          <w:szCs w:val="20"/>
        </w:rPr>
        <w:t>Another negative effect on packaged yogurt, which has been a breakfast staple, is an increase in snacking as a meal instead of the traditional breakfast, lunch and dinner, a trend Millennials are primarily driving as they don’t want to interrupt their busy lives.</w:t>
      </w:r>
    </w:p>
    <w:p w14:paraId="6428E636" w14:textId="77777777" w:rsidR="00720874" w:rsidRPr="006E1187" w:rsidRDefault="00720874" w:rsidP="007B1A70">
      <w:pPr>
        <w:spacing w:after="0" w:line="240" w:lineRule="auto"/>
        <w:contextualSpacing/>
        <w:mirrorIndents/>
        <w:rPr>
          <w:rFonts w:ascii="Verdana" w:hAnsi="Verdana"/>
          <w:sz w:val="20"/>
          <w:szCs w:val="20"/>
        </w:rPr>
      </w:pPr>
    </w:p>
    <w:p w14:paraId="2CFD808E" w14:textId="23BA6E91" w:rsidR="00720874" w:rsidRPr="006E1187" w:rsidRDefault="00BF45CB" w:rsidP="00BF45CB">
      <w:pPr>
        <w:pStyle w:val="ListParagraph"/>
        <w:numPr>
          <w:ilvl w:val="0"/>
          <w:numId w:val="6"/>
        </w:numPr>
        <w:spacing w:after="0" w:line="240" w:lineRule="auto"/>
        <w:mirrorIndents/>
        <w:rPr>
          <w:rFonts w:ascii="Verdana" w:hAnsi="Verdana"/>
          <w:sz w:val="20"/>
          <w:szCs w:val="20"/>
        </w:rPr>
      </w:pPr>
      <w:r w:rsidRPr="006E1187">
        <w:rPr>
          <w:rFonts w:ascii="Verdana" w:hAnsi="Verdana"/>
          <w:sz w:val="20"/>
          <w:szCs w:val="20"/>
        </w:rPr>
        <w:t>Many major brands, such as Yoplait and Philadelphia, are responding with smaller, snack-size products that emphasize multiple flavor choices or, in the case of Philadelphia, packaging bagel chips and cream cheese in snack packs.</w:t>
      </w:r>
    </w:p>
    <w:p w14:paraId="58957A46" w14:textId="77777777" w:rsidR="00BF45CB" w:rsidRPr="006E1187" w:rsidRDefault="00BF45CB" w:rsidP="007B1A70">
      <w:pPr>
        <w:spacing w:after="0" w:line="240" w:lineRule="auto"/>
        <w:contextualSpacing/>
        <w:mirrorIndents/>
        <w:rPr>
          <w:rFonts w:ascii="Verdana" w:hAnsi="Verdana"/>
          <w:sz w:val="20"/>
          <w:szCs w:val="20"/>
        </w:rPr>
      </w:pPr>
    </w:p>
    <w:p w14:paraId="38C1DA61" w14:textId="2471DDF5" w:rsidR="00916D61" w:rsidRPr="006E1187" w:rsidRDefault="00916D61" w:rsidP="00916D61">
      <w:pPr>
        <w:pStyle w:val="Header"/>
        <w:contextualSpacing/>
        <w:jc w:val="center"/>
        <w:rPr>
          <w:rFonts w:ascii="Verdana" w:hAnsi="Verdana"/>
          <w:b/>
          <w:sz w:val="20"/>
          <w:szCs w:val="20"/>
        </w:rPr>
      </w:pPr>
      <w:r w:rsidRPr="006E1187">
        <w:rPr>
          <w:rFonts w:ascii="Verdana" w:hAnsi="Verdana"/>
          <w:b/>
          <w:sz w:val="20"/>
          <w:szCs w:val="20"/>
        </w:rPr>
        <w:t>Cottage Cheese Sub-Category’s Dollars Sales*</w:t>
      </w:r>
    </w:p>
    <w:tbl>
      <w:tblPr>
        <w:tblW w:w="11235" w:type="dxa"/>
        <w:jc w:val="center"/>
        <w:tblBorders>
          <w:left w:val="single" w:sz="8" w:space="0" w:color="000000"/>
          <w:right w:val="single" w:sz="8" w:space="0" w:color="000000"/>
        </w:tblBorders>
        <w:tblLayout w:type="fixed"/>
        <w:tblLook w:val="0000" w:firstRow="0" w:lastRow="0" w:firstColumn="0" w:lastColumn="0" w:noHBand="0" w:noVBand="0"/>
      </w:tblPr>
      <w:tblGrid>
        <w:gridCol w:w="3270"/>
        <w:gridCol w:w="1170"/>
        <w:gridCol w:w="1170"/>
        <w:gridCol w:w="3285"/>
        <w:gridCol w:w="1170"/>
        <w:gridCol w:w="1170"/>
      </w:tblGrid>
      <w:tr w:rsidR="004D5293" w:rsidRPr="006E1187" w14:paraId="3DD98415" w14:textId="77777777" w:rsidTr="00E3798E">
        <w:trPr>
          <w:jc w:val="center"/>
        </w:trPr>
        <w:tc>
          <w:tcPr>
            <w:tcW w:w="3270" w:type="dxa"/>
            <w:tcBorders>
              <w:top w:val="single" w:sz="12" w:space="0" w:color="000000"/>
              <w:left w:val="single" w:sz="12" w:space="0" w:color="000000"/>
              <w:bottom w:val="single" w:sz="18" w:space="0" w:color="000000"/>
              <w:right w:val="single" w:sz="12" w:space="0" w:color="auto"/>
            </w:tcBorders>
            <w:shd w:val="clear" w:color="auto" w:fill="auto"/>
            <w:vAlign w:val="center"/>
          </w:tcPr>
          <w:p w14:paraId="7FE3942D" w14:textId="77777777" w:rsidR="00916D61" w:rsidRPr="006E1187" w:rsidRDefault="00916D61" w:rsidP="00E3798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6E1187">
              <w:rPr>
                <w:rFonts w:ascii="Verdana" w:eastAsia="Times New Roman" w:hAnsi="Verdana"/>
                <w:sz w:val="20"/>
                <w:szCs w:val="20"/>
              </w:rPr>
              <w:t>Brand</w:t>
            </w:r>
          </w:p>
        </w:tc>
        <w:tc>
          <w:tcPr>
            <w:tcW w:w="1170" w:type="dxa"/>
            <w:tcBorders>
              <w:top w:val="single" w:sz="12" w:space="0" w:color="000000"/>
              <w:left w:val="single" w:sz="12" w:space="0" w:color="auto"/>
              <w:bottom w:val="single" w:sz="18" w:space="0" w:color="000000"/>
              <w:right w:val="single" w:sz="8" w:space="0" w:color="auto"/>
            </w:tcBorders>
            <w:vAlign w:val="center"/>
          </w:tcPr>
          <w:p w14:paraId="58B8737D" w14:textId="77777777" w:rsidR="00916D61" w:rsidRPr="006E1187" w:rsidRDefault="00916D61"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auto"/>
              <w:bottom w:val="single" w:sz="18" w:space="0" w:color="000000"/>
              <w:right w:val="single" w:sz="18" w:space="0" w:color="auto"/>
            </w:tcBorders>
            <w:vAlign w:val="center"/>
          </w:tcPr>
          <w:p w14:paraId="3733670A" w14:textId="77777777" w:rsidR="00916D61" w:rsidRPr="006E1187" w:rsidRDefault="00916D61"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Change</w:t>
            </w:r>
          </w:p>
        </w:tc>
        <w:tc>
          <w:tcPr>
            <w:tcW w:w="3285" w:type="dxa"/>
            <w:tcBorders>
              <w:top w:val="single" w:sz="12" w:space="0" w:color="000000"/>
              <w:left w:val="single" w:sz="18" w:space="0" w:color="auto"/>
              <w:bottom w:val="single" w:sz="18" w:space="0" w:color="000000"/>
              <w:right w:val="single" w:sz="12" w:space="0" w:color="auto"/>
            </w:tcBorders>
            <w:vAlign w:val="center"/>
          </w:tcPr>
          <w:p w14:paraId="4A04C24C" w14:textId="77777777" w:rsidR="00916D61" w:rsidRPr="006E1187" w:rsidRDefault="00916D61"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Brand</w:t>
            </w:r>
          </w:p>
        </w:tc>
        <w:tc>
          <w:tcPr>
            <w:tcW w:w="1170" w:type="dxa"/>
            <w:tcBorders>
              <w:top w:val="single" w:sz="12" w:space="0" w:color="000000"/>
              <w:left w:val="single" w:sz="12" w:space="0" w:color="auto"/>
              <w:bottom w:val="single" w:sz="18" w:space="0" w:color="000000"/>
              <w:right w:val="single" w:sz="8" w:space="0" w:color="000000"/>
            </w:tcBorders>
            <w:vAlign w:val="center"/>
          </w:tcPr>
          <w:p w14:paraId="339ECB61" w14:textId="77777777" w:rsidR="00916D61" w:rsidRPr="006E1187" w:rsidRDefault="00916D61"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000000"/>
              <w:bottom w:val="single" w:sz="18" w:space="0" w:color="000000"/>
              <w:right w:val="single" w:sz="12" w:space="0" w:color="000000"/>
            </w:tcBorders>
            <w:vAlign w:val="center"/>
          </w:tcPr>
          <w:p w14:paraId="6DED260C" w14:textId="77777777" w:rsidR="00916D61" w:rsidRPr="006E1187" w:rsidRDefault="00916D61"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Change</w:t>
            </w:r>
          </w:p>
        </w:tc>
      </w:tr>
      <w:tr w:rsidR="00916D61" w:rsidRPr="006E1187" w14:paraId="737EB6A4" w14:textId="77777777" w:rsidTr="00E3798E">
        <w:trPr>
          <w:jc w:val="center"/>
        </w:trPr>
        <w:tc>
          <w:tcPr>
            <w:tcW w:w="3270" w:type="dxa"/>
            <w:tcBorders>
              <w:top w:val="single" w:sz="18" w:space="0" w:color="000000"/>
              <w:left w:val="single" w:sz="12" w:space="0" w:color="000000"/>
              <w:bottom w:val="single" w:sz="4" w:space="0" w:color="000000"/>
              <w:right w:val="single" w:sz="12" w:space="0" w:color="auto"/>
            </w:tcBorders>
            <w:vAlign w:val="center"/>
          </w:tcPr>
          <w:p w14:paraId="5CACFEDB" w14:textId="77777777" w:rsidR="00916D61" w:rsidRPr="006E1187" w:rsidRDefault="00916D61"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Private label</w:t>
            </w:r>
          </w:p>
        </w:tc>
        <w:tc>
          <w:tcPr>
            <w:tcW w:w="1170" w:type="dxa"/>
            <w:tcBorders>
              <w:top w:val="single" w:sz="18" w:space="0" w:color="000000"/>
              <w:left w:val="single" w:sz="12" w:space="0" w:color="auto"/>
              <w:bottom w:val="single" w:sz="4" w:space="0" w:color="000000"/>
              <w:right w:val="single" w:sz="8" w:space="0" w:color="auto"/>
            </w:tcBorders>
            <w:vAlign w:val="center"/>
          </w:tcPr>
          <w:p w14:paraId="73BA009B" w14:textId="546CC35D"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$375.0 M</w:t>
            </w:r>
          </w:p>
        </w:tc>
        <w:tc>
          <w:tcPr>
            <w:tcW w:w="1170" w:type="dxa"/>
            <w:tcBorders>
              <w:top w:val="single" w:sz="18" w:space="0" w:color="000000"/>
              <w:left w:val="single" w:sz="8" w:space="0" w:color="auto"/>
              <w:bottom w:val="single" w:sz="4" w:space="0" w:color="000000"/>
              <w:right w:val="single" w:sz="18" w:space="0" w:color="auto"/>
            </w:tcBorders>
            <w:vAlign w:val="center"/>
          </w:tcPr>
          <w:p w14:paraId="41B62D79" w14:textId="3313E5BF"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-4.3%</w:t>
            </w:r>
          </w:p>
        </w:tc>
        <w:tc>
          <w:tcPr>
            <w:tcW w:w="3285" w:type="dxa"/>
            <w:tcBorders>
              <w:top w:val="single" w:sz="18" w:space="0" w:color="000000"/>
              <w:left w:val="single" w:sz="18" w:space="0" w:color="auto"/>
              <w:bottom w:val="single" w:sz="4" w:space="0" w:color="000000"/>
              <w:right w:val="single" w:sz="12" w:space="0" w:color="auto"/>
            </w:tcBorders>
            <w:vAlign w:val="center"/>
          </w:tcPr>
          <w:p w14:paraId="04FB5BD8" w14:textId="6AB7A9A0" w:rsidR="00916D61" w:rsidRPr="006E1187" w:rsidRDefault="004D5293"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Hiland</w:t>
            </w:r>
          </w:p>
        </w:tc>
        <w:tc>
          <w:tcPr>
            <w:tcW w:w="1170" w:type="dxa"/>
            <w:tcBorders>
              <w:top w:val="single" w:sz="18" w:space="0" w:color="000000"/>
              <w:left w:val="single" w:sz="12" w:space="0" w:color="auto"/>
              <w:bottom w:val="single" w:sz="4" w:space="0" w:color="000000"/>
              <w:right w:val="single" w:sz="8" w:space="0" w:color="000000"/>
            </w:tcBorders>
            <w:vAlign w:val="center"/>
          </w:tcPr>
          <w:p w14:paraId="39FF1BA0" w14:textId="549EE6B4"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$37.8 M</w:t>
            </w:r>
          </w:p>
        </w:tc>
        <w:tc>
          <w:tcPr>
            <w:tcW w:w="1170" w:type="dxa"/>
            <w:tcBorders>
              <w:top w:val="single" w:sz="18" w:space="0" w:color="000000"/>
              <w:left w:val="single" w:sz="8" w:space="0" w:color="000000"/>
              <w:bottom w:val="single" w:sz="4" w:space="0" w:color="000000"/>
              <w:right w:val="single" w:sz="12" w:space="0" w:color="000000"/>
            </w:tcBorders>
            <w:vAlign w:val="center"/>
          </w:tcPr>
          <w:p w14:paraId="0AD39EC6" w14:textId="116C1414"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-0.5%</w:t>
            </w:r>
          </w:p>
        </w:tc>
      </w:tr>
      <w:tr w:rsidR="00916D61" w:rsidRPr="006E1187" w14:paraId="5397A7FE" w14:textId="77777777" w:rsidTr="00E3798E">
        <w:trPr>
          <w:jc w:val="center"/>
        </w:trPr>
        <w:tc>
          <w:tcPr>
            <w:tcW w:w="3270" w:type="dxa"/>
            <w:tcBorders>
              <w:top w:val="single" w:sz="4" w:space="0" w:color="000000"/>
              <w:left w:val="single" w:sz="12" w:space="0" w:color="000000"/>
              <w:bottom w:val="single" w:sz="4" w:space="0" w:color="000000"/>
              <w:right w:val="single" w:sz="12" w:space="0" w:color="auto"/>
            </w:tcBorders>
            <w:vAlign w:val="center"/>
          </w:tcPr>
          <w:p w14:paraId="5F31B1EE" w14:textId="3FF15654" w:rsidR="00916D61" w:rsidRPr="006E1187" w:rsidRDefault="00916D61"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Breakstone’s</w:t>
            </w:r>
          </w:p>
        </w:tc>
        <w:tc>
          <w:tcPr>
            <w:tcW w:w="1170" w:type="dxa"/>
            <w:tcBorders>
              <w:top w:val="single" w:sz="4" w:space="0" w:color="000000"/>
              <w:left w:val="single" w:sz="12" w:space="0" w:color="auto"/>
              <w:bottom w:val="single" w:sz="4" w:space="0" w:color="000000"/>
              <w:right w:val="single" w:sz="8" w:space="0" w:color="auto"/>
            </w:tcBorders>
            <w:vAlign w:val="center"/>
          </w:tcPr>
          <w:p w14:paraId="1083D726" w14:textId="29BC58CB"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sidRPr="006E1187">
              <w:rPr>
                <w:rFonts w:ascii="Verdana" w:eastAsia="Times New Roman" w:hAnsi="Verdana"/>
                <w:sz w:val="20"/>
                <w:szCs w:val="20"/>
              </w:rPr>
              <w:t>$105.0 M</w:t>
            </w:r>
          </w:p>
        </w:tc>
        <w:tc>
          <w:tcPr>
            <w:tcW w:w="1170" w:type="dxa"/>
            <w:tcBorders>
              <w:top w:val="single" w:sz="4" w:space="0" w:color="000000"/>
              <w:left w:val="single" w:sz="8" w:space="0" w:color="auto"/>
              <w:bottom w:val="single" w:sz="4" w:space="0" w:color="000000"/>
              <w:right w:val="single" w:sz="18" w:space="0" w:color="auto"/>
            </w:tcBorders>
            <w:vAlign w:val="center"/>
          </w:tcPr>
          <w:p w14:paraId="2CE17E8F" w14:textId="7721A2A3"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-1.0%</w:t>
            </w:r>
          </w:p>
        </w:tc>
        <w:tc>
          <w:tcPr>
            <w:tcW w:w="3285" w:type="dxa"/>
            <w:tcBorders>
              <w:top w:val="single" w:sz="4" w:space="0" w:color="000000"/>
              <w:left w:val="single" w:sz="18" w:space="0" w:color="auto"/>
              <w:bottom w:val="single" w:sz="4" w:space="0" w:color="000000"/>
              <w:right w:val="single" w:sz="12" w:space="0" w:color="auto"/>
            </w:tcBorders>
            <w:vAlign w:val="center"/>
          </w:tcPr>
          <w:p w14:paraId="61C0FECD" w14:textId="4842E62E" w:rsidR="00916D61" w:rsidRPr="006E1187" w:rsidRDefault="004D5293"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Hood</w:t>
            </w:r>
          </w:p>
        </w:tc>
        <w:tc>
          <w:tcPr>
            <w:tcW w:w="1170" w:type="dxa"/>
            <w:tcBorders>
              <w:top w:val="single" w:sz="4" w:space="0" w:color="000000"/>
              <w:left w:val="single" w:sz="12" w:space="0" w:color="auto"/>
              <w:bottom w:val="single" w:sz="4" w:space="0" w:color="000000"/>
              <w:right w:val="single" w:sz="8" w:space="0" w:color="000000"/>
            </w:tcBorders>
            <w:vAlign w:val="center"/>
          </w:tcPr>
          <w:p w14:paraId="43FBE9EB" w14:textId="1F66003B" w:rsidR="00916D61" w:rsidRPr="006E1187" w:rsidRDefault="004D5293" w:rsidP="00E3798E">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sidRPr="006E1187">
              <w:rPr>
                <w:rFonts w:ascii="Verdana" w:eastAsia="Times New Roman" w:hAnsi="Verdana"/>
                <w:sz w:val="20"/>
                <w:szCs w:val="20"/>
              </w:rPr>
              <w:t>$33.0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3249C858" w14:textId="3B058730" w:rsidR="00916D61" w:rsidRPr="006E1187" w:rsidRDefault="004D5293" w:rsidP="00E3798E">
            <w:pPr>
              <w:widowControl w:val="0"/>
              <w:tabs>
                <w:tab w:val="left" w:pos="220"/>
                <w:tab w:val="left" w:pos="720"/>
              </w:tabs>
              <w:autoSpaceDE w:val="0"/>
              <w:autoSpaceDN w:val="0"/>
              <w:adjustRightInd w:val="0"/>
              <w:spacing w:after="0" w:line="240" w:lineRule="auto"/>
              <w:ind w:left="36"/>
              <w:contextualSpacing/>
              <w:jc w:val="right"/>
              <w:rPr>
                <w:rFonts w:ascii="Verdana" w:eastAsia="Times New Roman" w:hAnsi="Verdana"/>
                <w:sz w:val="20"/>
                <w:szCs w:val="20"/>
              </w:rPr>
            </w:pPr>
            <w:r w:rsidRPr="006E1187">
              <w:rPr>
                <w:rFonts w:ascii="Verdana" w:eastAsia="Times New Roman" w:hAnsi="Verdana"/>
                <w:sz w:val="20"/>
                <w:szCs w:val="20"/>
              </w:rPr>
              <w:t>+6.4%</w:t>
            </w:r>
          </w:p>
        </w:tc>
      </w:tr>
      <w:tr w:rsidR="00916D61" w:rsidRPr="006E1187" w14:paraId="37FCD633" w14:textId="77777777" w:rsidTr="00E3798E">
        <w:trPr>
          <w:jc w:val="center"/>
        </w:trPr>
        <w:tc>
          <w:tcPr>
            <w:tcW w:w="3270" w:type="dxa"/>
            <w:tcBorders>
              <w:top w:val="single" w:sz="4" w:space="0" w:color="000000"/>
              <w:left w:val="single" w:sz="12" w:space="0" w:color="000000"/>
              <w:bottom w:val="single" w:sz="4" w:space="0" w:color="000000"/>
              <w:right w:val="single" w:sz="12" w:space="0" w:color="auto"/>
            </w:tcBorders>
            <w:vAlign w:val="center"/>
          </w:tcPr>
          <w:p w14:paraId="7C1494CF" w14:textId="145D3365" w:rsidR="00916D61" w:rsidRPr="006E1187" w:rsidRDefault="004D529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Daisy</w:t>
            </w:r>
          </w:p>
        </w:tc>
        <w:tc>
          <w:tcPr>
            <w:tcW w:w="1170" w:type="dxa"/>
            <w:tcBorders>
              <w:top w:val="single" w:sz="4" w:space="0" w:color="000000"/>
              <w:left w:val="single" w:sz="12" w:space="0" w:color="auto"/>
              <w:bottom w:val="single" w:sz="4" w:space="0" w:color="000000"/>
              <w:right w:val="single" w:sz="8" w:space="0" w:color="auto"/>
            </w:tcBorders>
            <w:vAlign w:val="center"/>
          </w:tcPr>
          <w:p w14:paraId="3C9DCBBA" w14:textId="1EF7C8F3"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$102.1 M</w:t>
            </w:r>
          </w:p>
        </w:tc>
        <w:tc>
          <w:tcPr>
            <w:tcW w:w="1170" w:type="dxa"/>
            <w:tcBorders>
              <w:top w:val="single" w:sz="4" w:space="0" w:color="000000"/>
              <w:left w:val="single" w:sz="8" w:space="0" w:color="auto"/>
              <w:bottom w:val="single" w:sz="4" w:space="0" w:color="000000"/>
              <w:right w:val="single" w:sz="18" w:space="0" w:color="auto"/>
            </w:tcBorders>
            <w:vAlign w:val="center"/>
          </w:tcPr>
          <w:p w14:paraId="0C9D623C" w14:textId="0CD5DFA7"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+6.6%</w:t>
            </w:r>
          </w:p>
        </w:tc>
        <w:tc>
          <w:tcPr>
            <w:tcW w:w="3285" w:type="dxa"/>
            <w:tcBorders>
              <w:top w:val="single" w:sz="4" w:space="0" w:color="000000"/>
              <w:left w:val="single" w:sz="18" w:space="0" w:color="auto"/>
              <w:bottom w:val="single" w:sz="4" w:space="0" w:color="000000"/>
              <w:right w:val="single" w:sz="12" w:space="0" w:color="auto"/>
            </w:tcBorders>
            <w:vAlign w:val="center"/>
          </w:tcPr>
          <w:p w14:paraId="0CCE4C1A" w14:textId="019F0CB6" w:rsidR="00916D61" w:rsidRPr="006E1187" w:rsidRDefault="004D5293"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Dean’s Country Fresh</w:t>
            </w:r>
          </w:p>
        </w:tc>
        <w:tc>
          <w:tcPr>
            <w:tcW w:w="1170" w:type="dxa"/>
            <w:tcBorders>
              <w:top w:val="single" w:sz="4" w:space="0" w:color="000000"/>
              <w:left w:val="single" w:sz="12" w:space="0" w:color="auto"/>
              <w:bottom w:val="single" w:sz="4" w:space="0" w:color="000000"/>
              <w:right w:val="single" w:sz="8" w:space="0" w:color="000000"/>
            </w:tcBorders>
            <w:vAlign w:val="center"/>
          </w:tcPr>
          <w:p w14:paraId="614A2CAD" w14:textId="7C2AF9C6"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$26.8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75A0E1A1" w14:textId="5C781A7F"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+7.6%</w:t>
            </w:r>
          </w:p>
        </w:tc>
      </w:tr>
      <w:tr w:rsidR="00916D61" w:rsidRPr="006E1187" w14:paraId="61CEDE81" w14:textId="77777777" w:rsidTr="00E3798E">
        <w:trPr>
          <w:jc w:val="center"/>
        </w:trPr>
        <w:tc>
          <w:tcPr>
            <w:tcW w:w="3270" w:type="dxa"/>
            <w:tcBorders>
              <w:top w:val="single" w:sz="4" w:space="0" w:color="000000"/>
              <w:left w:val="single" w:sz="12" w:space="0" w:color="000000"/>
              <w:bottom w:val="single" w:sz="4" w:space="0" w:color="000000"/>
              <w:right w:val="single" w:sz="12" w:space="0" w:color="auto"/>
            </w:tcBorders>
            <w:vAlign w:val="center"/>
          </w:tcPr>
          <w:p w14:paraId="79B22DFA" w14:textId="7106F16D" w:rsidR="00916D61" w:rsidRPr="006E1187" w:rsidRDefault="004D529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Knudsen</w:t>
            </w:r>
          </w:p>
        </w:tc>
        <w:tc>
          <w:tcPr>
            <w:tcW w:w="1170" w:type="dxa"/>
            <w:tcBorders>
              <w:top w:val="single" w:sz="4" w:space="0" w:color="000000"/>
              <w:left w:val="single" w:sz="12" w:space="0" w:color="auto"/>
              <w:bottom w:val="single" w:sz="4" w:space="0" w:color="000000"/>
              <w:right w:val="single" w:sz="8" w:space="0" w:color="auto"/>
            </w:tcBorders>
            <w:vAlign w:val="center"/>
          </w:tcPr>
          <w:p w14:paraId="439ACCA7" w14:textId="12A8F2A8"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$55.9 M</w:t>
            </w:r>
          </w:p>
        </w:tc>
        <w:tc>
          <w:tcPr>
            <w:tcW w:w="1170" w:type="dxa"/>
            <w:tcBorders>
              <w:top w:val="single" w:sz="4" w:space="0" w:color="000000"/>
              <w:left w:val="single" w:sz="8" w:space="0" w:color="auto"/>
              <w:bottom w:val="single" w:sz="4" w:space="0" w:color="000000"/>
              <w:right w:val="single" w:sz="18" w:space="0" w:color="auto"/>
            </w:tcBorders>
            <w:vAlign w:val="center"/>
          </w:tcPr>
          <w:p w14:paraId="24A9EDD3" w14:textId="796D53ED"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-4.4%</w:t>
            </w:r>
          </w:p>
        </w:tc>
        <w:tc>
          <w:tcPr>
            <w:tcW w:w="3285" w:type="dxa"/>
            <w:tcBorders>
              <w:top w:val="single" w:sz="4" w:space="0" w:color="000000"/>
              <w:left w:val="single" w:sz="18" w:space="0" w:color="auto"/>
              <w:bottom w:val="single" w:sz="4" w:space="0" w:color="000000"/>
              <w:right w:val="single" w:sz="12" w:space="0" w:color="auto"/>
            </w:tcBorders>
            <w:vAlign w:val="center"/>
          </w:tcPr>
          <w:p w14:paraId="26157240" w14:textId="63AC7F2E" w:rsidR="00916D61" w:rsidRPr="006E1187" w:rsidRDefault="004D5293"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Kemps</w:t>
            </w:r>
          </w:p>
        </w:tc>
        <w:tc>
          <w:tcPr>
            <w:tcW w:w="1170" w:type="dxa"/>
            <w:tcBorders>
              <w:top w:val="single" w:sz="4" w:space="0" w:color="000000"/>
              <w:left w:val="single" w:sz="12" w:space="0" w:color="auto"/>
              <w:bottom w:val="single" w:sz="4" w:space="0" w:color="000000"/>
              <w:right w:val="single" w:sz="8" w:space="0" w:color="000000"/>
            </w:tcBorders>
            <w:vAlign w:val="center"/>
          </w:tcPr>
          <w:p w14:paraId="1FCCB660" w14:textId="1E5F612C" w:rsidR="00916D61" w:rsidRPr="006E1187" w:rsidRDefault="004D5293" w:rsidP="00E3798E">
            <w:pPr>
              <w:widowControl w:val="0"/>
              <w:tabs>
                <w:tab w:val="left" w:pos="220"/>
                <w:tab w:val="left" w:pos="720"/>
              </w:tabs>
              <w:autoSpaceDE w:val="0"/>
              <w:autoSpaceDN w:val="0"/>
              <w:adjustRightInd w:val="0"/>
              <w:spacing w:after="0" w:line="240" w:lineRule="auto"/>
              <w:ind w:left="-22"/>
              <w:contextualSpacing/>
              <w:jc w:val="right"/>
              <w:rPr>
                <w:rFonts w:ascii="Verdana" w:eastAsia="Times New Roman" w:hAnsi="Verdana"/>
                <w:sz w:val="20"/>
                <w:szCs w:val="20"/>
              </w:rPr>
            </w:pPr>
            <w:r w:rsidRPr="006E1187">
              <w:rPr>
                <w:rFonts w:ascii="Verdana" w:eastAsia="Times New Roman" w:hAnsi="Verdana"/>
                <w:sz w:val="20"/>
                <w:szCs w:val="20"/>
              </w:rPr>
              <w:t>$24.0 M</w:t>
            </w:r>
          </w:p>
        </w:tc>
        <w:tc>
          <w:tcPr>
            <w:tcW w:w="1170" w:type="dxa"/>
            <w:tcBorders>
              <w:top w:val="single" w:sz="4" w:space="0" w:color="000000"/>
              <w:left w:val="single" w:sz="8" w:space="0" w:color="000000"/>
              <w:bottom w:val="single" w:sz="4" w:space="0" w:color="000000"/>
              <w:right w:val="single" w:sz="12" w:space="0" w:color="000000"/>
            </w:tcBorders>
            <w:vAlign w:val="center"/>
          </w:tcPr>
          <w:p w14:paraId="0B7D5267" w14:textId="29B93642" w:rsidR="00916D61" w:rsidRPr="006E1187" w:rsidRDefault="004D5293" w:rsidP="00E3798E">
            <w:pPr>
              <w:widowControl w:val="0"/>
              <w:tabs>
                <w:tab w:val="left" w:pos="220"/>
                <w:tab w:val="left" w:pos="720"/>
              </w:tabs>
              <w:autoSpaceDE w:val="0"/>
              <w:autoSpaceDN w:val="0"/>
              <w:adjustRightInd w:val="0"/>
              <w:spacing w:after="0" w:line="240" w:lineRule="auto"/>
              <w:ind w:left="66"/>
              <w:contextualSpacing/>
              <w:jc w:val="right"/>
              <w:rPr>
                <w:rFonts w:ascii="Verdana" w:eastAsia="Times New Roman" w:hAnsi="Verdana"/>
                <w:sz w:val="20"/>
                <w:szCs w:val="20"/>
              </w:rPr>
            </w:pPr>
            <w:r w:rsidRPr="006E1187">
              <w:rPr>
                <w:rFonts w:ascii="Verdana" w:eastAsia="Times New Roman" w:hAnsi="Verdana"/>
                <w:sz w:val="20"/>
                <w:szCs w:val="20"/>
              </w:rPr>
              <w:t>+12.5%</w:t>
            </w:r>
          </w:p>
        </w:tc>
      </w:tr>
      <w:tr w:rsidR="00916D61" w:rsidRPr="006E1187" w14:paraId="7D08FFD8" w14:textId="77777777" w:rsidTr="00E3798E">
        <w:trPr>
          <w:jc w:val="center"/>
        </w:trPr>
        <w:tc>
          <w:tcPr>
            <w:tcW w:w="3270" w:type="dxa"/>
            <w:tcBorders>
              <w:top w:val="single" w:sz="4" w:space="0" w:color="000000"/>
              <w:left w:val="single" w:sz="12" w:space="0" w:color="000000"/>
              <w:bottom w:val="single" w:sz="4" w:space="0" w:color="000000"/>
              <w:right w:val="single" w:sz="12" w:space="0" w:color="auto"/>
            </w:tcBorders>
            <w:vAlign w:val="center"/>
          </w:tcPr>
          <w:p w14:paraId="583AF7B1" w14:textId="2FB82CF9" w:rsidR="00916D61" w:rsidRPr="006E1187" w:rsidRDefault="004D529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Prairie Farms</w:t>
            </w:r>
          </w:p>
        </w:tc>
        <w:tc>
          <w:tcPr>
            <w:tcW w:w="1170" w:type="dxa"/>
            <w:tcBorders>
              <w:top w:val="single" w:sz="4" w:space="0" w:color="000000"/>
              <w:left w:val="single" w:sz="12" w:space="0" w:color="auto"/>
              <w:bottom w:val="single" w:sz="4" w:space="0" w:color="000000"/>
              <w:right w:val="single" w:sz="8" w:space="0" w:color="auto"/>
            </w:tcBorders>
            <w:vAlign w:val="center"/>
          </w:tcPr>
          <w:p w14:paraId="693D32AA" w14:textId="4AECD313"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$38.8 M</w:t>
            </w:r>
          </w:p>
        </w:tc>
        <w:tc>
          <w:tcPr>
            <w:tcW w:w="1170" w:type="dxa"/>
            <w:tcBorders>
              <w:top w:val="single" w:sz="4" w:space="0" w:color="000000"/>
              <w:left w:val="single" w:sz="8" w:space="0" w:color="auto"/>
              <w:bottom w:val="single" w:sz="4" w:space="0" w:color="000000"/>
              <w:right w:val="single" w:sz="18" w:space="0" w:color="auto"/>
            </w:tcBorders>
            <w:vAlign w:val="center"/>
          </w:tcPr>
          <w:p w14:paraId="6BCD9D24" w14:textId="5330D128"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+4.8%</w:t>
            </w:r>
          </w:p>
        </w:tc>
        <w:tc>
          <w:tcPr>
            <w:tcW w:w="3285" w:type="dxa"/>
            <w:tcBorders>
              <w:top w:val="single" w:sz="4" w:space="0" w:color="000000"/>
              <w:left w:val="single" w:sz="18" w:space="0" w:color="auto"/>
              <w:bottom w:val="single" w:sz="4" w:space="0" w:color="000000"/>
              <w:right w:val="single" w:sz="12" w:space="0" w:color="auto"/>
            </w:tcBorders>
            <w:vAlign w:val="center"/>
          </w:tcPr>
          <w:p w14:paraId="4A1251CF" w14:textId="77777777" w:rsidR="00916D61" w:rsidRPr="006E1187" w:rsidRDefault="00916D61"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Total category</w:t>
            </w:r>
          </w:p>
        </w:tc>
        <w:tc>
          <w:tcPr>
            <w:tcW w:w="1170" w:type="dxa"/>
            <w:tcBorders>
              <w:top w:val="single" w:sz="4" w:space="0" w:color="000000"/>
              <w:left w:val="single" w:sz="12" w:space="0" w:color="auto"/>
              <w:bottom w:val="single" w:sz="4" w:space="0" w:color="000000"/>
              <w:right w:val="single" w:sz="8" w:space="0" w:color="000000"/>
            </w:tcBorders>
            <w:vAlign w:val="center"/>
          </w:tcPr>
          <w:p w14:paraId="3BD9430C" w14:textId="07D9AF88"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$1.07 B</w:t>
            </w:r>
          </w:p>
        </w:tc>
        <w:tc>
          <w:tcPr>
            <w:tcW w:w="1170" w:type="dxa"/>
            <w:tcBorders>
              <w:top w:val="single" w:sz="4" w:space="0" w:color="000000"/>
              <w:left w:val="single" w:sz="8" w:space="0" w:color="000000"/>
              <w:bottom w:val="single" w:sz="4" w:space="0" w:color="000000"/>
              <w:right w:val="single" w:sz="12" w:space="0" w:color="000000"/>
            </w:tcBorders>
            <w:vAlign w:val="center"/>
          </w:tcPr>
          <w:p w14:paraId="18EDFCD4" w14:textId="0FEB0549"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-02%</w:t>
            </w:r>
          </w:p>
        </w:tc>
      </w:tr>
      <w:tr w:rsidR="004D5293" w:rsidRPr="006E1187" w14:paraId="23448C83" w14:textId="77777777" w:rsidTr="00E3798E">
        <w:trPr>
          <w:jc w:val="center"/>
        </w:trPr>
        <w:tc>
          <w:tcPr>
            <w:tcW w:w="3270" w:type="dxa"/>
            <w:tcBorders>
              <w:top w:val="single" w:sz="4" w:space="0" w:color="000000"/>
              <w:left w:val="single" w:sz="12" w:space="0" w:color="000000"/>
              <w:bottom w:val="single" w:sz="12" w:space="0" w:color="000000"/>
              <w:right w:val="single" w:sz="12" w:space="0" w:color="auto"/>
            </w:tcBorders>
            <w:vAlign w:val="center"/>
          </w:tcPr>
          <w:p w14:paraId="5D4BEF76" w14:textId="17A9D209" w:rsidR="00916D61" w:rsidRPr="006E1187" w:rsidRDefault="004D529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Breakstone’s Cottage Doubles</w:t>
            </w:r>
          </w:p>
        </w:tc>
        <w:tc>
          <w:tcPr>
            <w:tcW w:w="1170" w:type="dxa"/>
            <w:tcBorders>
              <w:top w:val="single" w:sz="4" w:space="0" w:color="000000"/>
              <w:left w:val="single" w:sz="12" w:space="0" w:color="auto"/>
              <w:bottom w:val="single" w:sz="12" w:space="0" w:color="000000"/>
              <w:right w:val="single" w:sz="8" w:space="0" w:color="auto"/>
            </w:tcBorders>
            <w:vAlign w:val="center"/>
          </w:tcPr>
          <w:p w14:paraId="452E7495" w14:textId="26FE5A7B"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$38.2 M</w:t>
            </w:r>
          </w:p>
        </w:tc>
        <w:tc>
          <w:tcPr>
            <w:tcW w:w="1170" w:type="dxa"/>
            <w:tcBorders>
              <w:top w:val="single" w:sz="4" w:space="0" w:color="000000"/>
              <w:left w:val="single" w:sz="8" w:space="0" w:color="auto"/>
              <w:bottom w:val="single" w:sz="12" w:space="0" w:color="000000"/>
              <w:right w:val="single" w:sz="18" w:space="0" w:color="auto"/>
            </w:tcBorders>
            <w:vAlign w:val="center"/>
          </w:tcPr>
          <w:p w14:paraId="223B557E" w14:textId="69C563C1" w:rsidR="00916D61" w:rsidRPr="006E1187" w:rsidRDefault="004D529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-3.6%</w:t>
            </w:r>
          </w:p>
        </w:tc>
        <w:tc>
          <w:tcPr>
            <w:tcW w:w="3285" w:type="dxa"/>
            <w:tcBorders>
              <w:top w:val="single" w:sz="4" w:space="0" w:color="000000"/>
              <w:left w:val="single" w:sz="18" w:space="0" w:color="auto"/>
              <w:bottom w:val="single" w:sz="12" w:space="0" w:color="000000"/>
              <w:right w:val="single" w:sz="12" w:space="0" w:color="auto"/>
            </w:tcBorders>
            <w:shd w:val="clear" w:color="auto" w:fill="D9D9D9" w:themeFill="background1" w:themeFillShade="D9"/>
            <w:vAlign w:val="center"/>
          </w:tcPr>
          <w:p w14:paraId="594B82B0" w14:textId="77777777" w:rsidR="00916D61" w:rsidRPr="006E1187" w:rsidRDefault="00916D61"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p>
        </w:tc>
        <w:tc>
          <w:tcPr>
            <w:tcW w:w="1170" w:type="dxa"/>
            <w:tcBorders>
              <w:top w:val="single" w:sz="4" w:space="0" w:color="000000"/>
              <w:left w:val="single" w:sz="12" w:space="0" w:color="auto"/>
              <w:bottom w:val="single" w:sz="12" w:space="0" w:color="000000"/>
              <w:right w:val="single" w:sz="8" w:space="0" w:color="000000"/>
            </w:tcBorders>
            <w:shd w:val="clear" w:color="auto" w:fill="D9D9D9" w:themeFill="background1" w:themeFillShade="D9"/>
            <w:vAlign w:val="center"/>
          </w:tcPr>
          <w:p w14:paraId="40E17174" w14:textId="77777777" w:rsidR="00916D61" w:rsidRPr="006E1187" w:rsidRDefault="00916D61"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c>
          <w:tcPr>
            <w:tcW w:w="1170" w:type="dxa"/>
            <w:tcBorders>
              <w:top w:val="single" w:sz="4" w:space="0" w:color="000000"/>
              <w:left w:val="single" w:sz="8" w:space="0" w:color="000000"/>
              <w:bottom w:val="single" w:sz="12" w:space="0" w:color="000000"/>
              <w:right w:val="single" w:sz="12" w:space="0" w:color="000000"/>
            </w:tcBorders>
            <w:shd w:val="clear" w:color="auto" w:fill="D9D9D9" w:themeFill="background1" w:themeFillShade="D9"/>
            <w:vAlign w:val="center"/>
          </w:tcPr>
          <w:p w14:paraId="23CA4EFA" w14:textId="77777777" w:rsidR="00916D61" w:rsidRPr="006E1187" w:rsidRDefault="00916D61"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p>
        </w:tc>
      </w:tr>
    </w:tbl>
    <w:p w14:paraId="17CF4034" w14:textId="083D94B7" w:rsidR="00916D61" w:rsidRPr="006E1187" w:rsidRDefault="00916D61" w:rsidP="004D5293">
      <w:pPr>
        <w:spacing w:after="0" w:line="240" w:lineRule="auto"/>
        <w:ind w:hanging="900"/>
        <w:contextualSpacing/>
        <w:mirrorIndents/>
        <w:rPr>
          <w:rFonts w:ascii="Verdana" w:hAnsi="Verdana"/>
          <w:sz w:val="16"/>
          <w:szCs w:val="16"/>
        </w:rPr>
      </w:pPr>
      <w:r w:rsidRPr="006E1187">
        <w:rPr>
          <w:rFonts w:ascii="Verdana" w:hAnsi="Verdana"/>
          <w:i/>
          <w:sz w:val="16"/>
          <w:szCs w:val="16"/>
        </w:rPr>
        <w:t>Dairy Foods</w:t>
      </w:r>
      <w:r w:rsidRPr="006E1187">
        <w:rPr>
          <w:rFonts w:ascii="Verdana" w:hAnsi="Verdana"/>
          <w:sz w:val="16"/>
          <w:szCs w:val="16"/>
        </w:rPr>
        <w:t xml:space="preserve">, </w:t>
      </w:r>
      <w:r w:rsidR="004D5293" w:rsidRPr="006E1187">
        <w:rPr>
          <w:rFonts w:ascii="Verdana" w:hAnsi="Verdana"/>
          <w:sz w:val="16"/>
          <w:szCs w:val="16"/>
        </w:rPr>
        <w:t>May</w:t>
      </w:r>
      <w:r w:rsidRPr="006E1187">
        <w:rPr>
          <w:rFonts w:ascii="Verdana" w:hAnsi="Verdana"/>
          <w:sz w:val="16"/>
          <w:szCs w:val="16"/>
        </w:rPr>
        <w:t xml:space="preserve"> 201</w:t>
      </w:r>
      <w:r w:rsidR="004D5293" w:rsidRPr="006E1187">
        <w:rPr>
          <w:rFonts w:ascii="Verdana" w:hAnsi="Verdana"/>
          <w:sz w:val="16"/>
          <w:szCs w:val="16"/>
        </w:rPr>
        <w:t>9</w:t>
      </w:r>
      <w:r w:rsidRPr="006E1187">
        <w:rPr>
          <w:rFonts w:ascii="Verdana" w:hAnsi="Verdana"/>
          <w:sz w:val="16"/>
          <w:szCs w:val="16"/>
        </w:rPr>
        <w:tab/>
      </w:r>
      <w:r w:rsidRPr="006E1187">
        <w:rPr>
          <w:rFonts w:ascii="Verdana" w:hAnsi="Verdana"/>
          <w:sz w:val="16"/>
          <w:szCs w:val="16"/>
        </w:rPr>
        <w:tab/>
      </w:r>
      <w:r w:rsidRPr="006E1187">
        <w:rPr>
          <w:rFonts w:ascii="Verdana" w:hAnsi="Verdana"/>
          <w:sz w:val="16"/>
          <w:szCs w:val="16"/>
        </w:rPr>
        <w:tab/>
      </w:r>
      <w:r w:rsidRPr="006E1187">
        <w:rPr>
          <w:rFonts w:ascii="Verdana" w:hAnsi="Verdana"/>
          <w:sz w:val="16"/>
          <w:szCs w:val="16"/>
        </w:rPr>
        <w:tab/>
      </w:r>
      <w:r w:rsidRPr="006E1187">
        <w:rPr>
          <w:rFonts w:ascii="Verdana" w:hAnsi="Verdana"/>
          <w:sz w:val="16"/>
          <w:szCs w:val="16"/>
        </w:rPr>
        <w:tab/>
      </w:r>
      <w:r w:rsidR="004D5293" w:rsidRPr="006E1187">
        <w:rPr>
          <w:rFonts w:ascii="Verdana" w:hAnsi="Verdana"/>
          <w:sz w:val="16"/>
          <w:szCs w:val="16"/>
        </w:rPr>
        <w:tab/>
      </w:r>
      <w:r w:rsidR="004D5293" w:rsidRPr="006E1187">
        <w:rPr>
          <w:rFonts w:ascii="Verdana" w:hAnsi="Verdana"/>
          <w:sz w:val="16"/>
          <w:szCs w:val="16"/>
        </w:rPr>
        <w:tab/>
      </w:r>
      <w:r w:rsidRPr="006E1187">
        <w:rPr>
          <w:rFonts w:ascii="Verdana" w:hAnsi="Verdana"/>
          <w:sz w:val="16"/>
          <w:szCs w:val="16"/>
        </w:rPr>
        <w:t>*for 52 weeks ending February 24, 2019</w:t>
      </w:r>
    </w:p>
    <w:p w14:paraId="5A7CD01F" w14:textId="77777777" w:rsidR="00BF45CB" w:rsidRPr="006E1187" w:rsidRDefault="00BF45CB" w:rsidP="007B1A70">
      <w:pPr>
        <w:spacing w:after="0" w:line="240" w:lineRule="auto"/>
        <w:contextualSpacing/>
        <w:mirrorIndents/>
        <w:rPr>
          <w:rFonts w:ascii="Verdana" w:hAnsi="Verdana"/>
          <w:sz w:val="20"/>
          <w:szCs w:val="20"/>
        </w:rPr>
      </w:pPr>
    </w:p>
    <w:p w14:paraId="268D7C65" w14:textId="0545D07C" w:rsidR="007B1A70" w:rsidRPr="006E1187" w:rsidRDefault="007B1A70" w:rsidP="004D5293">
      <w:pPr>
        <w:spacing w:after="0" w:line="240" w:lineRule="auto"/>
        <w:contextualSpacing/>
        <w:mirrorIndents/>
        <w:jc w:val="center"/>
        <w:rPr>
          <w:rFonts w:ascii="Verdana" w:hAnsi="Verdana"/>
          <w:b/>
          <w:color w:val="0070C0"/>
          <w:sz w:val="20"/>
          <w:szCs w:val="20"/>
        </w:rPr>
      </w:pPr>
      <w:r w:rsidRPr="006E1187">
        <w:rPr>
          <w:rFonts w:ascii="Verdana" w:hAnsi="Verdana"/>
          <w:b/>
          <w:color w:val="0070C0"/>
          <w:sz w:val="20"/>
          <w:szCs w:val="20"/>
        </w:rPr>
        <w:t>Taste, Flavor and Less Sugar Lead Ingredient Trends</w:t>
      </w:r>
      <w:bookmarkStart w:id="0" w:name="_GoBack"/>
      <w:bookmarkEnd w:id="0"/>
    </w:p>
    <w:p w14:paraId="7881425A" w14:textId="77777777" w:rsidR="00F94CE8" w:rsidRPr="006E1187" w:rsidRDefault="00F94CE8" w:rsidP="007B1A70">
      <w:pPr>
        <w:pStyle w:val="NoSpacing"/>
        <w:contextualSpacing/>
        <w:mirrorIndents/>
        <w:rPr>
          <w:rFonts w:ascii="Verdana" w:hAnsi="Verdana"/>
          <w:sz w:val="20"/>
          <w:szCs w:val="20"/>
        </w:rPr>
      </w:pPr>
    </w:p>
    <w:p w14:paraId="11DB62D2" w14:textId="0C0413B0" w:rsidR="00F94CE8" w:rsidRPr="006E1187" w:rsidRDefault="00C961CA" w:rsidP="004D5293">
      <w:pPr>
        <w:pStyle w:val="NoSpacing"/>
        <w:numPr>
          <w:ilvl w:val="0"/>
          <w:numId w:val="7"/>
        </w:numPr>
        <w:contextualSpacing/>
        <w:mirrorIndents/>
        <w:rPr>
          <w:rFonts w:ascii="Verdana" w:hAnsi="Verdana"/>
          <w:sz w:val="20"/>
          <w:szCs w:val="20"/>
        </w:rPr>
      </w:pPr>
      <w:r w:rsidRPr="006E1187">
        <w:rPr>
          <w:rFonts w:ascii="Verdana" w:hAnsi="Verdana"/>
          <w:sz w:val="20"/>
          <w:szCs w:val="20"/>
        </w:rPr>
        <w:t xml:space="preserve">Although all consumers, </w:t>
      </w:r>
      <w:r w:rsidR="00E3798E">
        <w:rPr>
          <w:rFonts w:ascii="Verdana" w:hAnsi="Verdana"/>
          <w:sz w:val="20"/>
          <w:szCs w:val="20"/>
        </w:rPr>
        <w:t>and</w:t>
      </w:r>
      <w:r w:rsidRPr="006E1187">
        <w:rPr>
          <w:rFonts w:ascii="Verdana" w:hAnsi="Verdana"/>
          <w:sz w:val="20"/>
          <w:szCs w:val="20"/>
        </w:rPr>
        <w:t xml:space="preserve"> dairy products consumers in particular, are demanding clean labels, so they can check for healthy (or unhealthy) ingredients, taste seems to be the most compelling factor for consumers’ selection of dairy, compared to other foods. </w:t>
      </w:r>
    </w:p>
    <w:p w14:paraId="286AC9F6" w14:textId="77777777" w:rsidR="00F94CE8" w:rsidRPr="006E1187" w:rsidRDefault="00F94CE8" w:rsidP="007B1A70">
      <w:pPr>
        <w:pStyle w:val="NoSpacing"/>
        <w:contextualSpacing/>
        <w:mirrorIndents/>
        <w:rPr>
          <w:rFonts w:ascii="Verdana" w:hAnsi="Verdana"/>
          <w:sz w:val="20"/>
          <w:szCs w:val="20"/>
        </w:rPr>
      </w:pPr>
    </w:p>
    <w:p w14:paraId="23D2BAA2" w14:textId="374CC17B" w:rsidR="00F94CE8" w:rsidRPr="006E1187" w:rsidRDefault="00C961CA" w:rsidP="00C961CA">
      <w:pPr>
        <w:pStyle w:val="NoSpacing"/>
        <w:numPr>
          <w:ilvl w:val="0"/>
          <w:numId w:val="7"/>
        </w:numPr>
        <w:contextualSpacing/>
        <w:mirrorIndents/>
        <w:rPr>
          <w:rFonts w:ascii="Verdana" w:hAnsi="Verdana"/>
          <w:sz w:val="20"/>
          <w:szCs w:val="20"/>
        </w:rPr>
      </w:pPr>
      <w:r w:rsidRPr="006E1187">
        <w:rPr>
          <w:rFonts w:ascii="Verdana" w:hAnsi="Verdana"/>
          <w:sz w:val="20"/>
          <w:szCs w:val="20"/>
        </w:rPr>
        <w:t xml:space="preserve">Reducing the amount of sugar in all foods, but especially dairy products and ice cream, specifically, is important to parents trying to </w:t>
      </w:r>
      <w:r w:rsidR="00741B21">
        <w:rPr>
          <w:rFonts w:ascii="Verdana" w:hAnsi="Verdana"/>
          <w:sz w:val="20"/>
          <w:szCs w:val="20"/>
        </w:rPr>
        <w:t>serve</w:t>
      </w:r>
      <w:r w:rsidRPr="006E1187">
        <w:rPr>
          <w:rFonts w:ascii="Verdana" w:hAnsi="Verdana"/>
          <w:sz w:val="20"/>
          <w:szCs w:val="20"/>
        </w:rPr>
        <w:t xml:space="preserve"> their children healthier</w:t>
      </w:r>
      <w:r w:rsidR="00E3798E">
        <w:rPr>
          <w:rFonts w:ascii="Verdana" w:hAnsi="Verdana"/>
          <w:sz w:val="20"/>
          <w:szCs w:val="20"/>
        </w:rPr>
        <w:t xml:space="preserve"> foods</w:t>
      </w:r>
      <w:r w:rsidRPr="006E1187">
        <w:rPr>
          <w:rFonts w:ascii="Verdana" w:hAnsi="Verdana"/>
          <w:sz w:val="20"/>
          <w:szCs w:val="20"/>
        </w:rPr>
        <w:t xml:space="preserve"> as well as 50% of Baby Boomers who tend to buy fewer desserts, ice cream and snack bars.</w:t>
      </w:r>
    </w:p>
    <w:p w14:paraId="664EB1A4" w14:textId="77777777" w:rsidR="00F94CE8" w:rsidRPr="006E1187" w:rsidRDefault="00F94CE8" w:rsidP="007B1A70">
      <w:pPr>
        <w:pStyle w:val="NoSpacing"/>
        <w:contextualSpacing/>
        <w:mirrorIndents/>
        <w:rPr>
          <w:rFonts w:ascii="Verdana" w:hAnsi="Verdana"/>
          <w:sz w:val="20"/>
          <w:szCs w:val="20"/>
        </w:rPr>
      </w:pPr>
    </w:p>
    <w:p w14:paraId="7401C3C8" w14:textId="5AE8407D" w:rsidR="00F94CE8" w:rsidRPr="006E1187" w:rsidRDefault="00C961CA" w:rsidP="00C961CA">
      <w:pPr>
        <w:pStyle w:val="NoSpacing"/>
        <w:numPr>
          <w:ilvl w:val="0"/>
          <w:numId w:val="7"/>
        </w:numPr>
        <w:contextualSpacing/>
        <w:mirrorIndents/>
        <w:rPr>
          <w:rFonts w:ascii="Verdana" w:hAnsi="Verdana"/>
          <w:sz w:val="20"/>
          <w:szCs w:val="20"/>
        </w:rPr>
      </w:pPr>
      <w:r w:rsidRPr="006E1187">
        <w:rPr>
          <w:rFonts w:ascii="Verdana" w:hAnsi="Verdana"/>
          <w:sz w:val="20"/>
          <w:szCs w:val="20"/>
        </w:rPr>
        <w:t>To that end, major dairy processors, such as Cargill, are combining erythritol and stevia to reduce sugar by 25% to 30%, but still retain a flavor profile to attract consumers</w:t>
      </w:r>
      <w:r w:rsidR="00E3798E">
        <w:rPr>
          <w:rFonts w:ascii="Verdana" w:hAnsi="Verdana"/>
          <w:sz w:val="20"/>
          <w:szCs w:val="20"/>
        </w:rPr>
        <w:t>.</w:t>
      </w:r>
    </w:p>
    <w:p w14:paraId="02C0BC62" w14:textId="77777777" w:rsidR="00F94CE8" w:rsidRPr="006E1187" w:rsidRDefault="00F94CE8" w:rsidP="007B1A70">
      <w:pPr>
        <w:pStyle w:val="NoSpacing"/>
        <w:contextualSpacing/>
        <w:mirrorIndents/>
        <w:rPr>
          <w:rFonts w:ascii="Verdana" w:hAnsi="Verdana"/>
          <w:sz w:val="20"/>
          <w:szCs w:val="20"/>
        </w:rPr>
      </w:pPr>
    </w:p>
    <w:p w14:paraId="35B6B76E" w14:textId="16E6EA09" w:rsidR="00C961CA" w:rsidRPr="006E1187" w:rsidRDefault="00C961CA" w:rsidP="00C961CA">
      <w:pPr>
        <w:pStyle w:val="Header"/>
        <w:contextualSpacing/>
        <w:jc w:val="center"/>
        <w:rPr>
          <w:rFonts w:ascii="Verdana" w:hAnsi="Verdana"/>
          <w:b/>
          <w:sz w:val="20"/>
          <w:szCs w:val="20"/>
        </w:rPr>
      </w:pPr>
      <w:r w:rsidRPr="006E1187">
        <w:rPr>
          <w:rFonts w:ascii="Verdana" w:hAnsi="Verdana"/>
          <w:b/>
          <w:sz w:val="20"/>
          <w:szCs w:val="20"/>
        </w:rPr>
        <w:t>Top 10 Ingredients Consumers Avoid</w:t>
      </w:r>
    </w:p>
    <w:tbl>
      <w:tblPr>
        <w:tblW w:w="7095" w:type="dxa"/>
        <w:jc w:val="center"/>
        <w:tblBorders>
          <w:left w:val="single" w:sz="8" w:space="0" w:color="000000"/>
          <w:right w:val="single" w:sz="8" w:space="0" w:color="000000"/>
        </w:tblBorders>
        <w:tblLayout w:type="fixed"/>
        <w:tblLook w:val="0000" w:firstRow="0" w:lastRow="0" w:firstColumn="0" w:lastColumn="0" w:noHBand="0" w:noVBand="0"/>
      </w:tblPr>
      <w:tblGrid>
        <w:gridCol w:w="2520"/>
        <w:gridCol w:w="1035"/>
        <w:gridCol w:w="2460"/>
        <w:gridCol w:w="1080"/>
      </w:tblGrid>
      <w:tr w:rsidR="00C961CA" w:rsidRPr="006E1187" w14:paraId="0CFE22DC" w14:textId="77777777" w:rsidTr="007E7F46">
        <w:trPr>
          <w:jc w:val="center"/>
        </w:trPr>
        <w:tc>
          <w:tcPr>
            <w:tcW w:w="2520" w:type="dxa"/>
            <w:tcBorders>
              <w:top w:val="single" w:sz="12" w:space="0" w:color="000000"/>
              <w:left w:val="single" w:sz="12" w:space="0" w:color="000000"/>
              <w:bottom w:val="single" w:sz="18" w:space="0" w:color="000000"/>
              <w:right w:val="single" w:sz="8" w:space="0" w:color="auto"/>
            </w:tcBorders>
            <w:shd w:val="clear" w:color="auto" w:fill="auto"/>
            <w:vAlign w:val="center"/>
          </w:tcPr>
          <w:p w14:paraId="3DA7C470" w14:textId="2D59043C" w:rsidR="00C961CA" w:rsidRPr="006E1187" w:rsidRDefault="00C961CA" w:rsidP="006E1187">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6E1187">
              <w:rPr>
                <w:rFonts w:ascii="Verdana" w:eastAsia="Times New Roman" w:hAnsi="Verdana"/>
                <w:sz w:val="20"/>
                <w:szCs w:val="20"/>
              </w:rPr>
              <w:t>Ingredient</w:t>
            </w:r>
          </w:p>
        </w:tc>
        <w:tc>
          <w:tcPr>
            <w:tcW w:w="1035" w:type="dxa"/>
            <w:tcBorders>
              <w:top w:val="single" w:sz="12" w:space="0" w:color="000000"/>
              <w:left w:val="single" w:sz="8" w:space="0" w:color="auto"/>
              <w:bottom w:val="single" w:sz="18" w:space="0" w:color="000000"/>
              <w:right w:val="single" w:sz="18" w:space="0" w:color="auto"/>
            </w:tcBorders>
            <w:vAlign w:val="center"/>
          </w:tcPr>
          <w:p w14:paraId="5A4F96DF" w14:textId="50A5FA21" w:rsidR="00C961CA" w:rsidRPr="006E1187" w:rsidRDefault="00C961C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Percent</w:t>
            </w:r>
          </w:p>
        </w:tc>
        <w:tc>
          <w:tcPr>
            <w:tcW w:w="2460" w:type="dxa"/>
            <w:tcBorders>
              <w:top w:val="single" w:sz="12" w:space="0" w:color="000000"/>
              <w:left w:val="single" w:sz="18" w:space="0" w:color="auto"/>
              <w:bottom w:val="single" w:sz="18" w:space="0" w:color="000000"/>
              <w:right w:val="single" w:sz="8" w:space="0" w:color="auto"/>
            </w:tcBorders>
            <w:vAlign w:val="center"/>
          </w:tcPr>
          <w:p w14:paraId="3A5BC626" w14:textId="4C7F0CCF" w:rsidR="00C961CA" w:rsidRPr="006E1187" w:rsidRDefault="00C961C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Ingredient</w:t>
            </w:r>
          </w:p>
        </w:tc>
        <w:tc>
          <w:tcPr>
            <w:tcW w:w="1080" w:type="dxa"/>
            <w:tcBorders>
              <w:top w:val="single" w:sz="12" w:space="0" w:color="000000"/>
              <w:left w:val="single" w:sz="8" w:space="0" w:color="auto"/>
              <w:bottom w:val="single" w:sz="18" w:space="0" w:color="000000"/>
              <w:right w:val="single" w:sz="12" w:space="0" w:color="000000"/>
            </w:tcBorders>
            <w:vAlign w:val="center"/>
          </w:tcPr>
          <w:p w14:paraId="7D7BAF39" w14:textId="0D35CB59" w:rsidR="00C961CA" w:rsidRPr="006E1187" w:rsidRDefault="00C961C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Percent</w:t>
            </w:r>
          </w:p>
        </w:tc>
      </w:tr>
      <w:tr w:rsidR="00C961CA" w:rsidRPr="006E1187" w14:paraId="623597B1" w14:textId="77777777" w:rsidTr="007E7F46">
        <w:trPr>
          <w:jc w:val="center"/>
        </w:trPr>
        <w:tc>
          <w:tcPr>
            <w:tcW w:w="2520" w:type="dxa"/>
            <w:tcBorders>
              <w:top w:val="single" w:sz="18" w:space="0" w:color="000000"/>
              <w:left w:val="single" w:sz="12" w:space="0" w:color="000000"/>
              <w:bottom w:val="single" w:sz="4" w:space="0" w:color="000000"/>
              <w:right w:val="single" w:sz="8" w:space="0" w:color="auto"/>
            </w:tcBorders>
            <w:vAlign w:val="center"/>
          </w:tcPr>
          <w:p w14:paraId="0C8BFCDC" w14:textId="0BDC285F" w:rsidR="00C961CA" w:rsidRPr="006E1187" w:rsidRDefault="00C961CA"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Artificial sweeteners</w:t>
            </w:r>
          </w:p>
        </w:tc>
        <w:tc>
          <w:tcPr>
            <w:tcW w:w="1035" w:type="dxa"/>
            <w:tcBorders>
              <w:top w:val="single" w:sz="18" w:space="0" w:color="000000"/>
              <w:left w:val="single" w:sz="8" w:space="0" w:color="auto"/>
              <w:bottom w:val="single" w:sz="4" w:space="0" w:color="000000"/>
              <w:right w:val="single" w:sz="18" w:space="0" w:color="auto"/>
            </w:tcBorders>
            <w:vAlign w:val="center"/>
          </w:tcPr>
          <w:p w14:paraId="797FF06C" w14:textId="106FCEF0" w:rsidR="00C961CA" w:rsidRPr="006E1187" w:rsidRDefault="00C961C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25%</w:t>
            </w:r>
          </w:p>
        </w:tc>
        <w:tc>
          <w:tcPr>
            <w:tcW w:w="2460" w:type="dxa"/>
            <w:tcBorders>
              <w:top w:val="single" w:sz="18" w:space="0" w:color="000000"/>
              <w:left w:val="single" w:sz="18" w:space="0" w:color="auto"/>
              <w:bottom w:val="single" w:sz="4" w:space="0" w:color="000000"/>
              <w:right w:val="single" w:sz="8" w:space="0" w:color="auto"/>
            </w:tcBorders>
            <w:vAlign w:val="center"/>
          </w:tcPr>
          <w:p w14:paraId="3C374F8D" w14:textId="044DEF98" w:rsidR="00C961CA" w:rsidRPr="006E1187" w:rsidRDefault="007E7F46"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Salt/Sodium</w:t>
            </w:r>
          </w:p>
        </w:tc>
        <w:tc>
          <w:tcPr>
            <w:tcW w:w="1080" w:type="dxa"/>
            <w:tcBorders>
              <w:top w:val="single" w:sz="18" w:space="0" w:color="000000"/>
              <w:left w:val="single" w:sz="8" w:space="0" w:color="auto"/>
              <w:bottom w:val="single" w:sz="4" w:space="0" w:color="000000"/>
              <w:right w:val="single" w:sz="12" w:space="0" w:color="000000"/>
            </w:tcBorders>
            <w:vAlign w:val="center"/>
          </w:tcPr>
          <w:p w14:paraId="11075ADD" w14:textId="052062A5" w:rsidR="00C961CA" w:rsidRPr="006E1187" w:rsidRDefault="007E7F46"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20%</w:t>
            </w:r>
          </w:p>
        </w:tc>
      </w:tr>
      <w:tr w:rsidR="00C961CA" w:rsidRPr="006E1187" w14:paraId="06C6D6F4" w14:textId="77777777" w:rsidTr="007E7F46">
        <w:trPr>
          <w:jc w:val="center"/>
        </w:trPr>
        <w:tc>
          <w:tcPr>
            <w:tcW w:w="2520" w:type="dxa"/>
            <w:tcBorders>
              <w:top w:val="single" w:sz="4" w:space="0" w:color="000000"/>
              <w:left w:val="single" w:sz="12" w:space="0" w:color="000000"/>
              <w:bottom w:val="single" w:sz="4" w:space="0" w:color="000000"/>
              <w:right w:val="single" w:sz="8" w:space="0" w:color="auto"/>
            </w:tcBorders>
            <w:vAlign w:val="center"/>
          </w:tcPr>
          <w:p w14:paraId="3D093F1D" w14:textId="6629633E" w:rsidR="00C961CA" w:rsidRPr="006E1187" w:rsidRDefault="00C961CA"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Sugar</w:t>
            </w:r>
          </w:p>
        </w:tc>
        <w:tc>
          <w:tcPr>
            <w:tcW w:w="1035" w:type="dxa"/>
            <w:tcBorders>
              <w:top w:val="single" w:sz="4" w:space="0" w:color="000000"/>
              <w:left w:val="single" w:sz="8" w:space="0" w:color="auto"/>
              <w:bottom w:val="single" w:sz="4" w:space="0" w:color="000000"/>
              <w:right w:val="single" w:sz="18" w:space="0" w:color="auto"/>
            </w:tcBorders>
            <w:vAlign w:val="center"/>
          </w:tcPr>
          <w:p w14:paraId="3B2D7C58" w14:textId="22C44470" w:rsidR="00C961CA" w:rsidRPr="006E1187" w:rsidRDefault="00C961C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23%</w:t>
            </w:r>
          </w:p>
        </w:tc>
        <w:tc>
          <w:tcPr>
            <w:tcW w:w="2460" w:type="dxa"/>
            <w:tcBorders>
              <w:top w:val="single" w:sz="4" w:space="0" w:color="000000"/>
              <w:left w:val="single" w:sz="18" w:space="0" w:color="auto"/>
              <w:bottom w:val="single" w:sz="4" w:space="0" w:color="000000"/>
              <w:right w:val="single" w:sz="8" w:space="0" w:color="auto"/>
            </w:tcBorders>
            <w:vAlign w:val="center"/>
          </w:tcPr>
          <w:p w14:paraId="5B081E0C" w14:textId="56602068" w:rsidR="00C961CA" w:rsidRPr="006E1187" w:rsidRDefault="007E7F46"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Saturated fats</w:t>
            </w:r>
          </w:p>
        </w:tc>
        <w:tc>
          <w:tcPr>
            <w:tcW w:w="1080" w:type="dxa"/>
            <w:tcBorders>
              <w:top w:val="single" w:sz="4" w:space="0" w:color="000000"/>
              <w:left w:val="single" w:sz="8" w:space="0" w:color="auto"/>
              <w:bottom w:val="single" w:sz="4" w:space="0" w:color="000000"/>
              <w:right w:val="single" w:sz="12" w:space="0" w:color="000000"/>
            </w:tcBorders>
            <w:vAlign w:val="center"/>
          </w:tcPr>
          <w:p w14:paraId="79F9FF5F" w14:textId="207DBA9B" w:rsidR="00C961CA" w:rsidRPr="006E1187" w:rsidRDefault="007E7F46" w:rsidP="006E1187">
            <w:pPr>
              <w:widowControl w:val="0"/>
              <w:tabs>
                <w:tab w:val="left" w:pos="220"/>
                <w:tab w:val="left" w:pos="720"/>
              </w:tabs>
              <w:autoSpaceDE w:val="0"/>
              <w:autoSpaceDN w:val="0"/>
              <w:adjustRightInd w:val="0"/>
              <w:spacing w:after="0" w:line="240" w:lineRule="auto"/>
              <w:ind w:left="36"/>
              <w:contextualSpacing/>
              <w:jc w:val="right"/>
              <w:rPr>
                <w:rFonts w:ascii="Verdana" w:eastAsia="Times New Roman" w:hAnsi="Verdana"/>
                <w:sz w:val="20"/>
                <w:szCs w:val="20"/>
              </w:rPr>
            </w:pPr>
            <w:r w:rsidRPr="006E1187">
              <w:rPr>
                <w:rFonts w:ascii="Verdana" w:eastAsia="Times New Roman" w:hAnsi="Verdana"/>
                <w:sz w:val="20"/>
                <w:szCs w:val="20"/>
              </w:rPr>
              <w:t>20%</w:t>
            </w:r>
          </w:p>
        </w:tc>
      </w:tr>
      <w:tr w:rsidR="00C961CA" w:rsidRPr="006E1187" w14:paraId="19C978BA" w14:textId="77777777" w:rsidTr="007E7F46">
        <w:trPr>
          <w:jc w:val="center"/>
        </w:trPr>
        <w:tc>
          <w:tcPr>
            <w:tcW w:w="2520" w:type="dxa"/>
            <w:tcBorders>
              <w:top w:val="single" w:sz="4" w:space="0" w:color="000000"/>
              <w:left w:val="single" w:sz="12" w:space="0" w:color="000000"/>
              <w:bottom w:val="single" w:sz="4" w:space="0" w:color="000000"/>
              <w:right w:val="single" w:sz="8" w:space="0" w:color="auto"/>
            </w:tcBorders>
            <w:vAlign w:val="center"/>
          </w:tcPr>
          <w:p w14:paraId="1530F070" w14:textId="34A486B4" w:rsidR="00C961CA" w:rsidRPr="006E1187" w:rsidRDefault="00C961CA"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Artificial preservatives</w:t>
            </w:r>
          </w:p>
        </w:tc>
        <w:tc>
          <w:tcPr>
            <w:tcW w:w="1035" w:type="dxa"/>
            <w:tcBorders>
              <w:top w:val="single" w:sz="4" w:space="0" w:color="000000"/>
              <w:left w:val="single" w:sz="8" w:space="0" w:color="auto"/>
              <w:bottom w:val="single" w:sz="4" w:space="0" w:color="000000"/>
              <w:right w:val="single" w:sz="18" w:space="0" w:color="auto"/>
            </w:tcBorders>
            <w:vAlign w:val="center"/>
          </w:tcPr>
          <w:p w14:paraId="2957BE3C" w14:textId="5CDD6002" w:rsidR="00C961CA" w:rsidRPr="006E1187" w:rsidRDefault="00C961C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22%</w:t>
            </w:r>
          </w:p>
        </w:tc>
        <w:tc>
          <w:tcPr>
            <w:tcW w:w="2460" w:type="dxa"/>
            <w:tcBorders>
              <w:top w:val="single" w:sz="4" w:space="0" w:color="000000"/>
              <w:left w:val="single" w:sz="18" w:space="0" w:color="auto"/>
              <w:bottom w:val="single" w:sz="4" w:space="0" w:color="000000"/>
              <w:right w:val="single" w:sz="8" w:space="0" w:color="auto"/>
            </w:tcBorders>
            <w:vAlign w:val="center"/>
          </w:tcPr>
          <w:p w14:paraId="2629C656" w14:textId="0DFDB025" w:rsidR="00C961CA" w:rsidRPr="006E1187" w:rsidRDefault="007E7F46"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Gluten</w:t>
            </w:r>
          </w:p>
        </w:tc>
        <w:tc>
          <w:tcPr>
            <w:tcW w:w="1080" w:type="dxa"/>
            <w:tcBorders>
              <w:top w:val="single" w:sz="4" w:space="0" w:color="000000"/>
              <w:left w:val="single" w:sz="8" w:space="0" w:color="auto"/>
              <w:bottom w:val="single" w:sz="4" w:space="0" w:color="000000"/>
              <w:right w:val="single" w:sz="12" w:space="0" w:color="000000"/>
            </w:tcBorders>
            <w:vAlign w:val="center"/>
          </w:tcPr>
          <w:p w14:paraId="496744DC" w14:textId="1933C1C5" w:rsidR="00C961CA" w:rsidRPr="006E1187" w:rsidRDefault="007E7F46"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15%</w:t>
            </w:r>
          </w:p>
        </w:tc>
      </w:tr>
      <w:tr w:rsidR="00C961CA" w:rsidRPr="006E1187" w14:paraId="25F4B307" w14:textId="77777777" w:rsidTr="007E7F46">
        <w:trPr>
          <w:jc w:val="center"/>
        </w:trPr>
        <w:tc>
          <w:tcPr>
            <w:tcW w:w="2520" w:type="dxa"/>
            <w:tcBorders>
              <w:top w:val="single" w:sz="4" w:space="0" w:color="000000"/>
              <w:left w:val="single" w:sz="12" w:space="0" w:color="000000"/>
              <w:bottom w:val="single" w:sz="4" w:space="0" w:color="000000"/>
              <w:right w:val="single" w:sz="8" w:space="0" w:color="auto"/>
            </w:tcBorders>
            <w:vAlign w:val="center"/>
          </w:tcPr>
          <w:p w14:paraId="40978B71" w14:textId="3BC7C233" w:rsidR="00C961CA" w:rsidRPr="006E1187" w:rsidRDefault="00C961CA"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Artificial colors</w:t>
            </w:r>
          </w:p>
        </w:tc>
        <w:tc>
          <w:tcPr>
            <w:tcW w:w="1035" w:type="dxa"/>
            <w:tcBorders>
              <w:top w:val="single" w:sz="4" w:space="0" w:color="000000"/>
              <w:left w:val="single" w:sz="8" w:space="0" w:color="auto"/>
              <w:bottom w:val="single" w:sz="4" w:space="0" w:color="000000"/>
              <w:right w:val="single" w:sz="18" w:space="0" w:color="auto"/>
            </w:tcBorders>
            <w:vAlign w:val="center"/>
          </w:tcPr>
          <w:p w14:paraId="2E8B04A8" w14:textId="22B27BE2" w:rsidR="00C961CA" w:rsidRPr="006E1187" w:rsidRDefault="00C961C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22%</w:t>
            </w:r>
          </w:p>
        </w:tc>
        <w:tc>
          <w:tcPr>
            <w:tcW w:w="2460" w:type="dxa"/>
            <w:tcBorders>
              <w:top w:val="single" w:sz="4" w:space="0" w:color="000000"/>
              <w:left w:val="single" w:sz="18" w:space="0" w:color="auto"/>
              <w:bottom w:val="single" w:sz="4" w:space="0" w:color="000000"/>
              <w:right w:val="single" w:sz="8" w:space="0" w:color="auto"/>
            </w:tcBorders>
            <w:vAlign w:val="center"/>
          </w:tcPr>
          <w:p w14:paraId="263E6C7C" w14:textId="6473F372" w:rsidR="00C961CA" w:rsidRPr="006E1187" w:rsidRDefault="007E7F46"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Nitrates/Nitrites</w:t>
            </w:r>
          </w:p>
        </w:tc>
        <w:tc>
          <w:tcPr>
            <w:tcW w:w="1080" w:type="dxa"/>
            <w:tcBorders>
              <w:top w:val="single" w:sz="4" w:space="0" w:color="000000"/>
              <w:left w:val="single" w:sz="8" w:space="0" w:color="auto"/>
              <w:bottom w:val="single" w:sz="4" w:space="0" w:color="000000"/>
              <w:right w:val="single" w:sz="12" w:space="0" w:color="000000"/>
            </w:tcBorders>
            <w:vAlign w:val="center"/>
          </w:tcPr>
          <w:p w14:paraId="502B3DF5" w14:textId="3B06E268" w:rsidR="00C961CA" w:rsidRPr="006E1187" w:rsidRDefault="007E7F46"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14%</w:t>
            </w:r>
          </w:p>
        </w:tc>
      </w:tr>
      <w:tr w:rsidR="00C961CA" w:rsidRPr="006E1187" w14:paraId="5516EC53" w14:textId="77777777" w:rsidTr="007E7F46">
        <w:trPr>
          <w:jc w:val="center"/>
        </w:trPr>
        <w:tc>
          <w:tcPr>
            <w:tcW w:w="2520" w:type="dxa"/>
            <w:tcBorders>
              <w:top w:val="single" w:sz="4" w:space="0" w:color="000000"/>
              <w:left w:val="single" w:sz="12" w:space="0" w:color="000000"/>
              <w:bottom w:val="single" w:sz="12" w:space="0" w:color="000000"/>
              <w:right w:val="single" w:sz="8" w:space="0" w:color="auto"/>
            </w:tcBorders>
            <w:vAlign w:val="center"/>
          </w:tcPr>
          <w:p w14:paraId="3784D0E9" w14:textId="6403C722" w:rsidR="00C961CA" w:rsidRPr="006E1187" w:rsidRDefault="00C961CA"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Artificial flavors</w:t>
            </w:r>
          </w:p>
        </w:tc>
        <w:tc>
          <w:tcPr>
            <w:tcW w:w="1035" w:type="dxa"/>
            <w:tcBorders>
              <w:top w:val="single" w:sz="4" w:space="0" w:color="000000"/>
              <w:left w:val="single" w:sz="8" w:space="0" w:color="auto"/>
              <w:bottom w:val="single" w:sz="12" w:space="0" w:color="000000"/>
              <w:right w:val="single" w:sz="18" w:space="0" w:color="auto"/>
            </w:tcBorders>
            <w:vAlign w:val="center"/>
          </w:tcPr>
          <w:p w14:paraId="660D1A5D" w14:textId="05D195A4" w:rsidR="00C961CA" w:rsidRPr="006E1187" w:rsidRDefault="00C961CA"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21%</w:t>
            </w:r>
          </w:p>
        </w:tc>
        <w:tc>
          <w:tcPr>
            <w:tcW w:w="2460" w:type="dxa"/>
            <w:tcBorders>
              <w:top w:val="single" w:sz="4" w:space="0" w:color="000000"/>
              <w:left w:val="single" w:sz="18" w:space="0" w:color="auto"/>
              <w:bottom w:val="single" w:sz="12" w:space="0" w:color="000000"/>
              <w:right w:val="single" w:sz="8" w:space="0" w:color="auto"/>
            </w:tcBorders>
            <w:shd w:val="clear" w:color="auto" w:fill="auto"/>
            <w:vAlign w:val="center"/>
          </w:tcPr>
          <w:p w14:paraId="1FB9618A" w14:textId="3860FDFB" w:rsidR="00C961CA" w:rsidRPr="006E1187" w:rsidRDefault="007E7F46"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rPr>
                <w:rFonts w:ascii="Verdana" w:eastAsia="Times New Roman" w:hAnsi="Verdana"/>
                <w:sz w:val="20"/>
                <w:szCs w:val="20"/>
              </w:rPr>
            </w:pPr>
            <w:r w:rsidRPr="006E1187">
              <w:rPr>
                <w:rFonts w:ascii="Verdana" w:eastAsia="Times New Roman" w:hAnsi="Verdana"/>
                <w:sz w:val="20"/>
                <w:szCs w:val="20"/>
              </w:rPr>
              <w:t>Sulfates/Sulfites</w:t>
            </w:r>
          </w:p>
        </w:tc>
        <w:tc>
          <w:tcPr>
            <w:tcW w:w="1080" w:type="dxa"/>
            <w:tcBorders>
              <w:top w:val="single" w:sz="4" w:space="0" w:color="000000"/>
              <w:left w:val="single" w:sz="8" w:space="0" w:color="auto"/>
              <w:bottom w:val="single" w:sz="12" w:space="0" w:color="000000"/>
              <w:right w:val="single" w:sz="12" w:space="0" w:color="000000"/>
            </w:tcBorders>
            <w:shd w:val="clear" w:color="auto" w:fill="auto"/>
            <w:vAlign w:val="center"/>
          </w:tcPr>
          <w:p w14:paraId="12D6CA2D" w14:textId="333C5B29" w:rsidR="00C961CA" w:rsidRPr="006E1187" w:rsidRDefault="007E7F46" w:rsidP="006E1187">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13%</w:t>
            </w:r>
          </w:p>
        </w:tc>
      </w:tr>
    </w:tbl>
    <w:p w14:paraId="37079E4B" w14:textId="124CFE7B" w:rsidR="00F94CE8" w:rsidRPr="006E1187" w:rsidRDefault="007E7F46" w:rsidP="007E7F46">
      <w:pPr>
        <w:pStyle w:val="NoSpacing"/>
        <w:tabs>
          <w:tab w:val="left" w:pos="1170"/>
        </w:tabs>
        <w:contextualSpacing/>
        <w:mirrorIndents/>
        <w:rPr>
          <w:rFonts w:ascii="Verdana" w:hAnsi="Verdana"/>
          <w:sz w:val="20"/>
          <w:szCs w:val="20"/>
        </w:rPr>
      </w:pPr>
      <w:r w:rsidRPr="006E1187">
        <w:rPr>
          <w:rFonts w:ascii="Verdana" w:hAnsi="Verdana"/>
          <w:sz w:val="16"/>
          <w:szCs w:val="16"/>
        </w:rPr>
        <w:tab/>
        <w:t>Winsight Grocery Business (2018 Forum Market Monitor)</w:t>
      </w:r>
      <w:r w:rsidR="00C961CA" w:rsidRPr="006E1187">
        <w:rPr>
          <w:rFonts w:ascii="Verdana" w:hAnsi="Verdana"/>
          <w:sz w:val="16"/>
          <w:szCs w:val="16"/>
        </w:rPr>
        <w:t xml:space="preserve">, </w:t>
      </w:r>
      <w:r w:rsidRPr="006E1187">
        <w:rPr>
          <w:rFonts w:ascii="Verdana" w:hAnsi="Verdana"/>
          <w:sz w:val="16"/>
          <w:szCs w:val="16"/>
        </w:rPr>
        <w:t>June</w:t>
      </w:r>
      <w:r w:rsidR="00C961CA" w:rsidRPr="006E1187">
        <w:rPr>
          <w:rFonts w:ascii="Verdana" w:hAnsi="Verdana"/>
          <w:sz w:val="16"/>
          <w:szCs w:val="16"/>
        </w:rPr>
        <w:t xml:space="preserve"> 2019</w:t>
      </w:r>
      <w:r w:rsidR="00C961CA" w:rsidRPr="006E1187">
        <w:rPr>
          <w:rFonts w:ascii="Verdana" w:hAnsi="Verdana"/>
          <w:sz w:val="16"/>
          <w:szCs w:val="16"/>
        </w:rPr>
        <w:tab/>
      </w:r>
      <w:r w:rsidR="00C961CA" w:rsidRPr="006E1187">
        <w:rPr>
          <w:rFonts w:ascii="Verdana" w:hAnsi="Verdana"/>
          <w:sz w:val="16"/>
          <w:szCs w:val="16"/>
        </w:rPr>
        <w:tab/>
      </w:r>
      <w:r w:rsidR="00C961CA" w:rsidRPr="006E1187">
        <w:rPr>
          <w:rFonts w:ascii="Verdana" w:hAnsi="Verdana"/>
          <w:sz w:val="16"/>
          <w:szCs w:val="16"/>
        </w:rPr>
        <w:tab/>
      </w:r>
      <w:r w:rsidR="00C961CA" w:rsidRPr="006E1187">
        <w:rPr>
          <w:rFonts w:ascii="Verdana" w:hAnsi="Verdana"/>
          <w:sz w:val="16"/>
          <w:szCs w:val="16"/>
        </w:rPr>
        <w:tab/>
      </w:r>
    </w:p>
    <w:p w14:paraId="3A5080E9" w14:textId="77777777" w:rsidR="00F94CE8" w:rsidRPr="006E1187" w:rsidRDefault="00F94CE8" w:rsidP="007B1A70">
      <w:pPr>
        <w:pStyle w:val="NoSpacing"/>
        <w:contextualSpacing/>
        <w:mirrorIndents/>
        <w:rPr>
          <w:rFonts w:ascii="Verdana" w:hAnsi="Verdana"/>
          <w:sz w:val="20"/>
          <w:szCs w:val="20"/>
        </w:rPr>
      </w:pPr>
    </w:p>
    <w:p w14:paraId="3D6E3712" w14:textId="77777777" w:rsidR="00F94CE8" w:rsidRPr="006E1187" w:rsidRDefault="00F94CE8" w:rsidP="007B1A70">
      <w:pPr>
        <w:pStyle w:val="NoSpacing"/>
        <w:contextualSpacing/>
        <w:mirrorIndents/>
        <w:rPr>
          <w:rFonts w:ascii="Verdana" w:hAnsi="Verdana"/>
          <w:sz w:val="20"/>
          <w:szCs w:val="20"/>
        </w:rPr>
      </w:pPr>
    </w:p>
    <w:p w14:paraId="484391DE" w14:textId="77777777" w:rsidR="00F94CE8" w:rsidRPr="006E1187" w:rsidRDefault="00F94CE8" w:rsidP="007B1A70">
      <w:pPr>
        <w:pStyle w:val="NoSpacing"/>
        <w:contextualSpacing/>
        <w:mirrorIndents/>
        <w:rPr>
          <w:rFonts w:ascii="Verdana" w:hAnsi="Verdana"/>
          <w:sz w:val="20"/>
          <w:szCs w:val="20"/>
        </w:rPr>
      </w:pPr>
    </w:p>
    <w:p w14:paraId="633FD3CD" w14:textId="77777777" w:rsidR="00F94CE8" w:rsidRPr="006E1187" w:rsidRDefault="00F94CE8" w:rsidP="007B1A70">
      <w:pPr>
        <w:pStyle w:val="NoSpacing"/>
        <w:contextualSpacing/>
        <w:mirrorIndents/>
        <w:rPr>
          <w:rFonts w:ascii="Verdana" w:hAnsi="Verdana"/>
          <w:sz w:val="20"/>
          <w:szCs w:val="20"/>
        </w:rPr>
      </w:pPr>
    </w:p>
    <w:p w14:paraId="05B35E5D" w14:textId="629447BE" w:rsidR="00F94CE8" w:rsidRPr="006E1187" w:rsidRDefault="00F94CE8" w:rsidP="00DC705B">
      <w:pPr>
        <w:spacing w:after="0" w:line="240" w:lineRule="auto"/>
        <w:contextualSpacing/>
        <w:mirrorIndents/>
        <w:jc w:val="center"/>
        <w:rPr>
          <w:rFonts w:ascii="Verdana" w:hAnsi="Verdana"/>
          <w:sz w:val="20"/>
          <w:szCs w:val="20"/>
        </w:rPr>
      </w:pPr>
      <w:r w:rsidRPr="006E1187">
        <w:rPr>
          <w:b/>
          <w:color w:val="0070C0"/>
          <w:sz w:val="20"/>
          <w:szCs w:val="20"/>
        </w:rPr>
        <w:lastRenderedPageBreak/>
        <w:t>Additional Analysis</w:t>
      </w:r>
    </w:p>
    <w:p w14:paraId="4D37D21A" w14:textId="77777777" w:rsidR="00F94CE8" w:rsidRPr="006E1187" w:rsidRDefault="00F94CE8" w:rsidP="00F94CE8">
      <w:pPr>
        <w:pStyle w:val="NoSpacing"/>
        <w:contextualSpacing/>
        <w:rPr>
          <w:sz w:val="20"/>
          <w:szCs w:val="20"/>
        </w:rPr>
      </w:pPr>
    </w:p>
    <w:p w14:paraId="3A5D7D5A" w14:textId="786D7108" w:rsidR="00031253" w:rsidRPr="006E1187" w:rsidRDefault="00031253" w:rsidP="00031253">
      <w:pPr>
        <w:pStyle w:val="Header"/>
        <w:contextualSpacing/>
        <w:jc w:val="center"/>
        <w:rPr>
          <w:rFonts w:ascii="Verdana" w:hAnsi="Verdana"/>
          <w:b/>
          <w:sz w:val="20"/>
          <w:szCs w:val="20"/>
        </w:rPr>
      </w:pPr>
      <w:r w:rsidRPr="006E1187">
        <w:rPr>
          <w:rFonts w:ascii="Verdana" w:hAnsi="Verdana"/>
          <w:b/>
          <w:sz w:val="20"/>
          <w:szCs w:val="20"/>
        </w:rPr>
        <w:t>Frozen Novelties Brands’ Dollars Sales*</w:t>
      </w:r>
    </w:p>
    <w:tbl>
      <w:tblPr>
        <w:tblW w:w="4875" w:type="dxa"/>
        <w:jc w:val="center"/>
        <w:tblBorders>
          <w:left w:val="single" w:sz="8" w:space="0" w:color="000000"/>
          <w:right w:val="single" w:sz="8" w:space="0" w:color="000000"/>
        </w:tblBorders>
        <w:tblLayout w:type="fixed"/>
        <w:tblLook w:val="0000" w:firstRow="0" w:lastRow="0" w:firstColumn="0" w:lastColumn="0" w:noHBand="0" w:noVBand="0"/>
      </w:tblPr>
      <w:tblGrid>
        <w:gridCol w:w="2535"/>
        <w:gridCol w:w="1170"/>
        <w:gridCol w:w="1170"/>
      </w:tblGrid>
      <w:tr w:rsidR="00031253" w:rsidRPr="006E1187" w14:paraId="44B7EABA" w14:textId="77777777" w:rsidTr="00E3798E">
        <w:trPr>
          <w:jc w:val="center"/>
        </w:trPr>
        <w:tc>
          <w:tcPr>
            <w:tcW w:w="2535" w:type="dxa"/>
            <w:tcBorders>
              <w:top w:val="single" w:sz="12" w:space="0" w:color="000000"/>
              <w:left w:val="single" w:sz="12" w:space="0" w:color="000000"/>
              <w:bottom w:val="single" w:sz="18" w:space="0" w:color="000000"/>
              <w:right w:val="single" w:sz="12" w:space="0" w:color="auto"/>
            </w:tcBorders>
            <w:shd w:val="clear" w:color="auto" w:fill="auto"/>
            <w:vAlign w:val="center"/>
          </w:tcPr>
          <w:p w14:paraId="2F9EC647" w14:textId="77777777" w:rsidR="00031253" w:rsidRPr="006E1187" w:rsidRDefault="00031253" w:rsidP="00E3798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6E1187">
              <w:rPr>
                <w:rFonts w:ascii="Verdana" w:eastAsia="Times New Roman" w:hAnsi="Verdana"/>
                <w:sz w:val="20"/>
                <w:szCs w:val="20"/>
              </w:rPr>
              <w:t>Brand</w:t>
            </w:r>
          </w:p>
        </w:tc>
        <w:tc>
          <w:tcPr>
            <w:tcW w:w="1170" w:type="dxa"/>
            <w:tcBorders>
              <w:top w:val="single" w:sz="12" w:space="0" w:color="000000"/>
              <w:left w:val="single" w:sz="12" w:space="0" w:color="auto"/>
              <w:bottom w:val="single" w:sz="18" w:space="0" w:color="000000"/>
              <w:right w:val="single" w:sz="8" w:space="0" w:color="auto"/>
            </w:tcBorders>
            <w:vAlign w:val="center"/>
          </w:tcPr>
          <w:p w14:paraId="792970CD" w14:textId="77777777"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auto"/>
              <w:bottom w:val="single" w:sz="18" w:space="0" w:color="000000"/>
              <w:right w:val="single" w:sz="12" w:space="0" w:color="auto"/>
            </w:tcBorders>
            <w:vAlign w:val="center"/>
          </w:tcPr>
          <w:p w14:paraId="45D94E9A" w14:textId="77777777"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Change</w:t>
            </w:r>
          </w:p>
        </w:tc>
      </w:tr>
      <w:tr w:rsidR="00031253" w:rsidRPr="006E1187" w14:paraId="446CC9F4" w14:textId="77777777" w:rsidTr="00E3798E">
        <w:trPr>
          <w:jc w:val="center"/>
        </w:trPr>
        <w:tc>
          <w:tcPr>
            <w:tcW w:w="2535" w:type="dxa"/>
            <w:tcBorders>
              <w:top w:val="single" w:sz="18" w:space="0" w:color="000000"/>
              <w:left w:val="single" w:sz="12" w:space="0" w:color="000000"/>
              <w:bottom w:val="single" w:sz="4" w:space="0" w:color="000000"/>
              <w:right w:val="single" w:sz="12" w:space="0" w:color="auto"/>
            </w:tcBorders>
            <w:vAlign w:val="center"/>
          </w:tcPr>
          <w:p w14:paraId="5EB4CD17" w14:textId="11E83C1C"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Private label</w:t>
            </w:r>
          </w:p>
        </w:tc>
        <w:tc>
          <w:tcPr>
            <w:tcW w:w="1170" w:type="dxa"/>
            <w:tcBorders>
              <w:top w:val="single" w:sz="18" w:space="0" w:color="000000"/>
              <w:left w:val="single" w:sz="12" w:space="0" w:color="auto"/>
              <w:bottom w:val="single" w:sz="4" w:space="0" w:color="000000"/>
              <w:right w:val="single" w:sz="8" w:space="0" w:color="auto"/>
            </w:tcBorders>
            <w:vAlign w:val="center"/>
          </w:tcPr>
          <w:p w14:paraId="592CDE4B" w14:textId="12E9C681"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$535.5 M</w:t>
            </w:r>
          </w:p>
        </w:tc>
        <w:tc>
          <w:tcPr>
            <w:tcW w:w="1170" w:type="dxa"/>
            <w:tcBorders>
              <w:top w:val="single" w:sz="18" w:space="0" w:color="000000"/>
              <w:left w:val="single" w:sz="8" w:space="0" w:color="auto"/>
              <w:bottom w:val="single" w:sz="4" w:space="0" w:color="000000"/>
              <w:right w:val="single" w:sz="12" w:space="0" w:color="auto"/>
            </w:tcBorders>
            <w:vAlign w:val="center"/>
          </w:tcPr>
          <w:p w14:paraId="2958D583" w14:textId="3FFCB6FF"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+4.2%</w:t>
            </w:r>
          </w:p>
        </w:tc>
      </w:tr>
      <w:tr w:rsidR="00031253" w:rsidRPr="006E1187" w14:paraId="02F876F7" w14:textId="77777777" w:rsidTr="00E3798E">
        <w:trPr>
          <w:jc w:val="center"/>
        </w:trPr>
        <w:tc>
          <w:tcPr>
            <w:tcW w:w="2535" w:type="dxa"/>
            <w:tcBorders>
              <w:top w:val="single" w:sz="4" w:space="0" w:color="000000"/>
              <w:left w:val="single" w:sz="12" w:space="0" w:color="000000"/>
              <w:bottom w:val="single" w:sz="4" w:space="0" w:color="000000"/>
              <w:right w:val="single" w:sz="12" w:space="0" w:color="auto"/>
            </w:tcBorders>
            <w:vAlign w:val="center"/>
          </w:tcPr>
          <w:p w14:paraId="1C8C5DE0" w14:textId="7773768B"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Nestlé Drumstick</w:t>
            </w:r>
          </w:p>
        </w:tc>
        <w:tc>
          <w:tcPr>
            <w:tcW w:w="1170" w:type="dxa"/>
            <w:tcBorders>
              <w:top w:val="single" w:sz="4" w:space="0" w:color="000000"/>
              <w:left w:val="single" w:sz="12" w:space="0" w:color="auto"/>
              <w:bottom w:val="single" w:sz="4" w:space="0" w:color="000000"/>
              <w:right w:val="single" w:sz="8" w:space="0" w:color="auto"/>
            </w:tcBorders>
            <w:vAlign w:val="center"/>
          </w:tcPr>
          <w:p w14:paraId="4FFA11BF" w14:textId="3645537B"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sidRPr="006E1187">
              <w:rPr>
                <w:rFonts w:ascii="Verdana" w:eastAsia="Times New Roman" w:hAnsi="Verdana"/>
                <w:sz w:val="20"/>
                <w:szCs w:val="20"/>
              </w:rPr>
              <w:t>$439.8 M</w:t>
            </w:r>
          </w:p>
        </w:tc>
        <w:tc>
          <w:tcPr>
            <w:tcW w:w="1170" w:type="dxa"/>
            <w:tcBorders>
              <w:top w:val="single" w:sz="4" w:space="0" w:color="000000"/>
              <w:left w:val="single" w:sz="8" w:space="0" w:color="auto"/>
              <w:bottom w:val="single" w:sz="4" w:space="0" w:color="000000"/>
              <w:right w:val="single" w:sz="12" w:space="0" w:color="auto"/>
            </w:tcBorders>
            <w:vAlign w:val="center"/>
          </w:tcPr>
          <w:p w14:paraId="4787AF24" w14:textId="417E292C"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+1.5%</w:t>
            </w:r>
          </w:p>
        </w:tc>
      </w:tr>
      <w:tr w:rsidR="00031253" w:rsidRPr="006E1187" w14:paraId="3166DB15" w14:textId="77777777" w:rsidTr="00E3798E">
        <w:trPr>
          <w:jc w:val="center"/>
        </w:trPr>
        <w:tc>
          <w:tcPr>
            <w:tcW w:w="2535" w:type="dxa"/>
            <w:tcBorders>
              <w:top w:val="single" w:sz="4" w:space="0" w:color="000000"/>
              <w:left w:val="single" w:sz="12" w:space="0" w:color="000000"/>
              <w:bottom w:val="single" w:sz="4" w:space="0" w:color="000000"/>
              <w:right w:val="single" w:sz="12" w:space="0" w:color="auto"/>
            </w:tcBorders>
            <w:vAlign w:val="center"/>
          </w:tcPr>
          <w:p w14:paraId="10F88AB8" w14:textId="7F8953BC"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Klondike</w:t>
            </w:r>
          </w:p>
        </w:tc>
        <w:tc>
          <w:tcPr>
            <w:tcW w:w="1170" w:type="dxa"/>
            <w:tcBorders>
              <w:top w:val="single" w:sz="4" w:space="0" w:color="000000"/>
              <w:left w:val="single" w:sz="12" w:space="0" w:color="auto"/>
              <w:bottom w:val="single" w:sz="4" w:space="0" w:color="000000"/>
              <w:right w:val="single" w:sz="8" w:space="0" w:color="auto"/>
            </w:tcBorders>
            <w:vAlign w:val="center"/>
          </w:tcPr>
          <w:p w14:paraId="29EE7609" w14:textId="56351700"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$339.1 M</w:t>
            </w:r>
          </w:p>
        </w:tc>
        <w:tc>
          <w:tcPr>
            <w:tcW w:w="1170" w:type="dxa"/>
            <w:tcBorders>
              <w:top w:val="single" w:sz="4" w:space="0" w:color="000000"/>
              <w:left w:val="single" w:sz="8" w:space="0" w:color="auto"/>
              <w:bottom w:val="single" w:sz="4" w:space="0" w:color="000000"/>
              <w:right w:val="single" w:sz="12" w:space="0" w:color="auto"/>
            </w:tcBorders>
            <w:vAlign w:val="center"/>
          </w:tcPr>
          <w:p w14:paraId="3C3302CC" w14:textId="1B6123D6"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-1.9%</w:t>
            </w:r>
          </w:p>
        </w:tc>
      </w:tr>
      <w:tr w:rsidR="00031253" w:rsidRPr="006E1187" w14:paraId="103834F4" w14:textId="77777777" w:rsidTr="00E3798E">
        <w:trPr>
          <w:jc w:val="center"/>
        </w:trPr>
        <w:tc>
          <w:tcPr>
            <w:tcW w:w="2535" w:type="dxa"/>
            <w:tcBorders>
              <w:top w:val="single" w:sz="4" w:space="0" w:color="000000"/>
              <w:left w:val="single" w:sz="12" w:space="0" w:color="000000"/>
              <w:bottom w:val="single" w:sz="4" w:space="0" w:color="000000"/>
              <w:right w:val="single" w:sz="12" w:space="0" w:color="auto"/>
            </w:tcBorders>
            <w:vAlign w:val="center"/>
          </w:tcPr>
          <w:p w14:paraId="51EF70CC" w14:textId="6335B80E"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Popsicle</w:t>
            </w:r>
          </w:p>
        </w:tc>
        <w:tc>
          <w:tcPr>
            <w:tcW w:w="1170" w:type="dxa"/>
            <w:tcBorders>
              <w:top w:val="single" w:sz="4" w:space="0" w:color="000000"/>
              <w:left w:val="single" w:sz="12" w:space="0" w:color="auto"/>
              <w:bottom w:val="single" w:sz="4" w:space="0" w:color="000000"/>
              <w:right w:val="single" w:sz="8" w:space="0" w:color="auto"/>
            </w:tcBorders>
            <w:vAlign w:val="center"/>
          </w:tcPr>
          <w:p w14:paraId="69C7167A" w14:textId="2573A936"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$233.0 M</w:t>
            </w:r>
          </w:p>
        </w:tc>
        <w:tc>
          <w:tcPr>
            <w:tcW w:w="1170" w:type="dxa"/>
            <w:tcBorders>
              <w:top w:val="single" w:sz="4" w:space="0" w:color="000000"/>
              <w:left w:val="single" w:sz="8" w:space="0" w:color="auto"/>
              <w:bottom w:val="single" w:sz="4" w:space="0" w:color="000000"/>
              <w:right w:val="single" w:sz="12" w:space="0" w:color="auto"/>
            </w:tcBorders>
            <w:vAlign w:val="center"/>
          </w:tcPr>
          <w:p w14:paraId="15B63465" w14:textId="5E33A76A"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+1.1%</w:t>
            </w:r>
          </w:p>
        </w:tc>
      </w:tr>
      <w:tr w:rsidR="00031253" w:rsidRPr="006E1187" w14:paraId="45D1450B" w14:textId="77777777" w:rsidTr="00E3798E">
        <w:trPr>
          <w:jc w:val="center"/>
        </w:trPr>
        <w:tc>
          <w:tcPr>
            <w:tcW w:w="2535" w:type="dxa"/>
            <w:tcBorders>
              <w:top w:val="single" w:sz="4" w:space="0" w:color="000000"/>
              <w:left w:val="single" w:sz="12" w:space="0" w:color="000000"/>
              <w:bottom w:val="single" w:sz="4" w:space="0" w:color="000000"/>
              <w:right w:val="single" w:sz="12" w:space="0" w:color="auto"/>
            </w:tcBorders>
            <w:vAlign w:val="center"/>
          </w:tcPr>
          <w:p w14:paraId="7DC8F3D6" w14:textId="6D6AAF0D"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Nestlé</w:t>
            </w:r>
          </w:p>
        </w:tc>
        <w:tc>
          <w:tcPr>
            <w:tcW w:w="1170" w:type="dxa"/>
            <w:tcBorders>
              <w:top w:val="single" w:sz="4" w:space="0" w:color="000000"/>
              <w:left w:val="single" w:sz="12" w:space="0" w:color="auto"/>
              <w:bottom w:val="single" w:sz="4" w:space="0" w:color="000000"/>
              <w:right w:val="single" w:sz="8" w:space="0" w:color="auto"/>
            </w:tcBorders>
            <w:vAlign w:val="center"/>
          </w:tcPr>
          <w:p w14:paraId="213F5BA5" w14:textId="65076F73"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$224.4 M</w:t>
            </w:r>
          </w:p>
        </w:tc>
        <w:tc>
          <w:tcPr>
            <w:tcW w:w="1170" w:type="dxa"/>
            <w:tcBorders>
              <w:top w:val="single" w:sz="4" w:space="0" w:color="000000"/>
              <w:left w:val="single" w:sz="8" w:space="0" w:color="auto"/>
              <w:bottom w:val="single" w:sz="4" w:space="0" w:color="000000"/>
              <w:right w:val="single" w:sz="12" w:space="0" w:color="auto"/>
            </w:tcBorders>
            <w:vAlign w:val="center"/>
          </w:tcPr>
          <w:p w14:paraId="16AB8902" w14:textId="01CC0DDC"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+4.5%</w:t>
            </w:r>
          </w:p>
        </w:tc>
      </w:tr>
      <w:tr w:rsidR="00031253" w:rsidRPr="006E1187" w14:paraId="2D7088FB" w14:textId="77777777" w:rsidTr="00E3798E">
        <w:trPr>
          <w:jc w:val="center"/>
        </w:trPr>
        <w:tc>
          <w:tcPr>
            <w:tcW w:w="2535" w:type="dxa"/>
            <w:tcBorders>
              <w:top w:val="single" w:sz="4" w:space="0" w:color="000000"/>
              <w:left w:val="single" w:sz="12" w:space="0" w:color="000000"/>
              <w:bottom w:val="single" w:sz="4" w:space="0" w:color="000000"/>
              <w:right w:val="single" w:sz="12" w:space="0" w:color="auto"/>
            </w:tcBorders>
            <w:vAlign w:val="center"/>
          </w:tcPr>
          <w:p w14:paraId="599B2D45" w14:textId="538BDD89"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Dreyer/Edy’s Outshine</w:t>
            </w:r>
          </w:p>
        </w:tc>
        <w:tc>
          <w:tcPr>
            <w:tcW w:w="1170" w:type="dxa"/>
            <w:tcBorders>
              <w:top w:val="single" w:sz="4" w:space="0" w:color="000000"/>
              <w:left w:val="single" w:sz="12" w:space="0" w:color="auto"/>
              <w:bottom w:val="single" w:sz="4" w:space="0" w:color="000000"/>
              <w:right w:val="single" w:sz="8" w:space="0" w:color="auto"/>
            </w:tcBorders>
            <w:vAlign w:val="center"/>
          </w:tcPr>
          <w:p w14:paraId="312498F8" w14:textId="1B2A673A"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$206.5 M</w:t>
            </w:r>
          </w:p>
        </w:tc>
        <w:tc>
          <w:tcPr>
            <w:tcW w:w="1170" w:type="dxa"/>
            <w:tcBorders>
              <w:top w:val="single" w:sz="4" w:space="0" w:color="000000"/>
              <w:left w:val="single" w:sz="8" w:space="0" w:color="auto"/>
              <w:bottom w:val="single" w:sz="4" w:space="0" w:color="000000"/>
              <w:right w:val="single" w:sz="12" w:space="0" w:color="auto"/>
            </w:tcBorders>
            <w:vAlign w:val="center"/>
          </w:tcPr>
          <w:p w14:paraId="640D20F5" w14:textId="08C819DD"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+4.1%</w:t>
            </w:r>
          </w:p>
        </w:tc>
      </w:tr>
      <w:tr w:rsidR="00031253" w:rsidRPr="006E1187" w14:paraId="3C0C04C0" w14:textId="77777777" w:rsidTr="00E3798E">
        <w:trPr>
          <w:jc w:val="center"/>
        </w:trPr>
        <w:tc>
          <w:tcPr>
            <w:tcW w:w="2535" w:type="dxa"/>
            <w:tcBorders>
              <w:top w:val="single" w:sz="4" w:space="0" w:color="000000"/>
              <w:left w:val="single" w:sz="12" w:space="0" w:color="000000"/>
              <w:bottom w:val="single" w:sz="4" w:space="0" w:color="000000"/>
              <w:right w:val="single" w:sz="12" w:space="0" w:color="auto"/>
            </w:tcBorders>
            <w:vAlign w:val="center"/>
          </w:tcPr>
          <w:p w14:paraId="6BB1EFAD" w14:textId="09F72B87"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Blue Bunny</w:t>
            </w:r>
          </w:p>
        </w:tc>
        <w:tc>
          <w:tcPr>
            <w:tcW w:w="1170" w:type="dxa"/>
            <w:tcBorders>
              <w:top w:val="single" w:sz="4" w:space="0" w:color="000000"/>
              <w:left w:val="single" w:sz="12" w:space="0" w:color="auto"/>
              <w:bottom w:val="single" w:sz="4" w:space="0" w:color="000000"/>
              <w:right w:val="single" w:sz="8" w:space="0" w:color="auto"/>
            </w:tcBorders>
            <w:vAlign w:val="center"/>
          </w:tcPr>
          <w:p w14:paraId="2444A5FA" w14:textId="49733E28"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$198.0 M</w:t>
            </w:r>
          </w:p>
        </w:tc>
        <w:tc>
          <w:tcPr>
            <w:tcW w:w="1170" w:type="dxa"/>
            <w:tcBorders>
              <w:top w:val="single" w:sz="4" w:space="0" w:color="000000"/>
              <w:left w:val="single" w:sz="8" w:space="0" w:color="auto"/>
              <w:bottom w:val="single" w:sz="4" w:space="0" w:color="000000"/>
              <w:right w:val="single" w:sz="12" w:space="0" w:color="auto"/>
            </w:tcBorders>
            <w:vAlign w:val="center"/>
          </w:tcPr>
          <w:p w14:paraId="78A03179" w14:textId="5405C51B"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+14.7%</w:t>
            </w:r>
          </w:p>
        </w:tc>
      </w:tr>
      <w:tr w:rsidR="00031253" w:rsidRPr="006E1187" w14:paraId="4EDFAB6B" w14:textId="77777777" w:rsidTr="00E3798E">
        <w:trPr>
          <w:jc w:val="center"/>
        </w:trPr>
        <w:tc>
          <w:tcPr>
            <w:tcW w:w="2535" w:type="dxa"/>
            <w:tcBorders>
              <w:top w:val="single" w:sz="4" w:space="0" w:color="000000"/>
              <w:left w:val="single" w:sz="12" w:space="0" w:color="000000"/>
              <w:bottom w:val="single" w:sz="4" w:space="0" w:color="000000"/>
              <w:right w:val="single" w:sz="12" w:space="0" w:color="auto"/>
            </w:tcBorders>
            <w:vAlign w:val="center"/>
          </w:tcPr>
          <w:p w14:paraId="39B04833" w14:textId="5D646A15"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Haggen Dazs</w:t>
            </w:r>
          </w:p>
        </w:tc>
        <w:tc>
          <w:tcPr>
            <w:tcW w:w="1170" w:type="dxa"/>
            <w:tcBorders>
              <w:top w:val="single" w:sz="4" w:space="0" w:color="000000"/>
              <w:left w:val="single" w:sz="12" w:space="0" w:color="auto"/>
              <w:bottom w:val="single" w:sz="4" w:space="0" w:color="000000"/>
              <w:right w:val="single" w:sz="8" w:space="0" w:color="auto"/>
            </w:tcBorders>
            <w:vAlign w:val="center"/>
          </w:tcPr>
          <w:p w14:paraId="3ACE93A3" w14:textId="2D550174"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$195.1 M</w:t>
            </w:r>
          </w:p>
        </w:tc>
        <w:tc>
          <w:tcPr>
            <w:tcW w:w="1170" w:type="dxa"/>
            <w:tcBorders>
              <w:top w:val="single" w:sz="4" w:space="0" w:color="000000"/>
              <w:left w:val="single" w:sz="8" w:space="0" w:color="auto"/>
              <w:bottom w:val="single" w:sz="4" w:space="0" w:color="000000"/>
              <w:right w:val="single" w:sz="12" w:space="0" w:color="auto"/>
            </w:tcBorders>
            <w:vAlign w:val="center"/>
          </w:tcPr>
          <w:p w14:paraId="22029627" w14:textId="025DA0CF"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+4.9%</w:t>
            </w:r>
          </w:p>
        </w:tc>
      </w:tr>
      <w:tr w:rsidR="00031253" w:rsidRPr="006E1187" w14:paraId="540E602A" w14:textId="77777777" w:rsidTr="00E3798E">
        <w:trPr>
          <w:jc w:val="center"/>
        </w:trPr>
        <w:tc>
          <w:tcPr>
            <w:tcW w:w="2535" w:type="dxa"/>
            <w:tcBorders>
              <w:top w:val="single" w:sz="4" w:space="0" w:color="000000"/>
              <w:left w:val="single" w:sz="12" w:space="0" w:color="000000"/>
              <w:bottom w:val="single" w:sz="4" w:space="0" w:color="000000"/>
              <w:right w:val="single" w:sz="12" w:space="0" w:color="auto"/>
            </w:tcBorders>
            <w:vAlign w:val="center"/>
          </w:tcPr>
          <w:p w14:paraId="60D09FC6" w14:textId="4062508B"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Magnum</w:t>
            </w:r>
          </w:p>
        </w:tc>
        <w:tc>
          <w:tcPr>
            <w:tcW w:w="1170" w:type="dxa"/>
            <w:tcBorders>
              <w:top w:val="single" w:sz="4" w:space="0" w:color="000000"/>
              <w:left w:val="single" w:sz="12" w:space="0" w:color="auto"/>
              <w:bottom w:val="single" w:sz="4" w:space="0" w:color="000000"/>
              <w:right w:val="single" w:sz="8" w:space="0" w:color="auto"/>
            </w:tcBorders>
            <w:vAlign w:val="center"/>
          </w:tcPr>
          <w:p w14:paraId="3E8E4FF6" w14:textId="04EE8C6E"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$147.5 M</w:t>
            </w:r>
          </w:p>
        </w:tc>
        <w:tc>
          <w:tcPr>
            <w:tcW w:w="1170" w:type="dxa"/>
            <w:tcBorders>
              <w:top w:val="single" w:sz="4" w:space="0" w:color="000000"/>
              <w:left w:val="single" w:sz="8" w:space="0" w:color="auto"/>
              <w:bottom w:val="single" w:sz="4" w:space="0" w:color="000000"/>
              <w:right w:val="single" w:sz="12" w:space="0" w:color="auto"/>
            </w:tcBorders>
            <w:vAlign w:val="center"/>
          </w:tcPr>
          <w:p w14:paraId="749E72D2" w14:textId="5E772667"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+2.3%</w:t>
            </w:r>
          </w:p>
        </w:tc>
      </w:tr>
      <w:tr w:rsidR="00031253" w:rsidRPr="006E1187" w14:paraId="7A935216" w14:textId="77777777" w:rsidTr="00E3798E">
        <w:trPr>
          <w:jc w:val="center"/>
        </w:trPr>
        <w:tc>
          <w:tcPr>
            <w:tcW w:w="2535" w:type="dxa"/>
            <w:tcBorders>
              <w:top w:val="single" w:sz="4" w:space="0" w:color="000000"/>
              <w:left w:val="single" w:sz="12" w:space="0" w:color="000000"/>
              <w:bottom w:val="single" w:sz="4" w:space="0" w:color="000000"/>
              <w:right w:val="single" w:sz="12" w:space="0" w:color="auto"/>
            </w:tcBorders>
            <w:vAlign w:val="center"/>
          </w:tcPr>
          <w:p w14:paraId="57542784" w14:textId="2AE50811"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Good Humor</w:t>
            </w:r>
          </w:p>
        </w:tc>
        <w:tc>
          <w:tcPr>
            <w:tcW w:w="1170" w:type="dxa"/>
            <w:tcBorders>
              <w:top w:val="single" w:sz="4" w:space="0" w:color="000000"/>
              <w:left w:val="single" w:sz="12" w:space="0" w:color="auto"/>
              <w:bottom w:val="single" w:sz="4" w:space="0" w:color="000000"/>
              <w:right w:val="single" w:sz="8" w:space="0" w:color="auto"/>
            </w:tcBorders>
            <w:vAlign w:val="center"/>
          </w:tcPr>
          <w:p w14:paraId="527CD99B" w14:textId="7B5D8C06"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$127.6 M</w:t>
            </w:r>
          </w:p>
        </w:tc>
        <w:tc>
          <w:tcPr>
            <w:tcW w:w="1170" w:type="dxa"/>
            <w:tcBorders>
              <w:top w:val="single" w:sz="4" w:space="0" w:color="000000"/>
              <w:left w:val="single" w:sz="8" w:space="0" w:color="auto"/>
              <w:bottom w:val="single" w:sz="4" w:space="0" w:color="000000"/>
              <w:right w:val="single" w:sz="12" w:space="0" w:color="auto"/>
            </w:tcBorders>
            <w:vAlign w:val="center"/>
          </w:tcPr>
          <w:p w14:paraId="1AB4E34E" w14:textId="04E1B5F2"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-6.7%</w:t>
            </w:r>
          </w:p>
        </w:tc>
      </w:tr>
      <w:tr w:rsidR="00031253" w:rsidRPr="006E1187" w14:paraId="5073A7E1" w14:textId="77777777" w:rsidTr="00E3798E">
        <w:trPr>
          <w:jc w:val="center"/>
        </w:trPr>
        <w:tc>
          <w:tcPr>
            <w:tcW w:w="2535" w:type="dxa"/>
            <w:tcBorders>
              <w:top w:val="single" w:sz="4" w:space="0" w:color="000000"/>
              <w:left w:val="single" w:sz="12" w:space="0" w:color="000000"/>
              <w:bottom w:val="single" w:sz="12" w:space="0" w:color="000000"/>
              <w:right w:val="single" w:sz="12" w:space="0" w:color="auto"/>
            </w:tcBorders>
            <w:vAlign w:val="center"/>
          </w:tcPr>
          <w:p w14:paraId="00C1123A" w14:textId="4AFDE85B" w:rsidR="00031253" w:rsidRPr="006E1187" w:rsidRDefault="00031253" w:rsidP="0003125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Total category</w:t>
            </w:r>
          </w:p>
        </w:tc>
        <w:tc>
          <w:tcPr>
            <w:tcW w:w="1170" w:type="dxa"/>
            <w:tcBorders>
              <w:top w:val="single" w:sz="4" w:space="0" w:color="000000"/>
              <w:left w:val="single" w:sz="12" w:space="0" w:color="auto"/>
              <w:bottom w:val="single" w:sz="12" w:space="0" w:color="000000"/>
              <w:right w:val="single" w:sz="8" w:space="0" w:color="auto"/>
            </w:tcBorders>
            <w:vAlign w:val="center"/>
          </w:tcPr>
          <w:p w14:paraId="09E4F4D8" w14:textId="1332F0A1"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$4.70 B</w:t>
            </w:r>
          </w:p>
        </w:tc>
        <w:tc>
          <w:tcPr>
            <w:tcW w:w="1170" w:type="dxa"/>
            <w:tcBorders>
              <w:top w:val="single" w:sz="4" w:space="0" w:color="000000"/>
              <w:left w:val="single" w:sz="8" w:space="0" w:color="auto"/>
              <w:bottom w:val="single" w:sz="12" w:space="0" w:color="000000"/>
              <w:right w:val="single" w:sz="12" w:space="0" w:color="auto"/>
            </w:tcBorders>
            <w:vAlign w:val="center"/>
          </w:tcPr>
          <w:p w14:paraId="2F91B7AC" w14:textId="12878F20"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+3.5%</w:t>
            </w:r>
          </w:p>
        </w:tc>
      </w:tr>
    </w:tbl>
    <w:p w14:paraId="7FFC43FE" w14:textId="5E2E0C54" w:rsidR="00031253" w:rsidRPr="006E1187" w:rsidRDefault="00031253" w:rsidP="00031253">
      <w:pPr>
        <w:tabs>
          <w:tab w:val="left" w:pos="2250"/>
        </w:tabs>
        <w:spacing w:after="0" w:line="240" w:lineRule="auto"/>
        <w:contextualSpacing/>
        <w:mirrorIndents/>
        <w:rPr>
          <w:rFonts w:ascii="Verdana" w:hAnsi="Verdana"/>
          <w:sz w:val="20"/>
          <w:szCs w:val="20"/>
        </w:rPr>
      </w:pPr>
      <w:r w:rsidRPr="006E1187">
        <w:rPr>
          <w:rFonts w:ascii="Verdana" w:hAnsi="Verdana"/>
          <w:i/>
          <w:sz w:val="16"/>
          <w:szCs w:val="16"/>
        </w:rPr>
        <w:tab/>
        <w:t>Dairy Foods</w:t>
      </w:r>
      <w:r w:rsidRPr="006E1187">
        <w:rPr>
          <w:rFonts w:ascii="Verdana" w:hAnsi="Verdana"/>
          <w:sz w:val="16"/>
          <w:szCs w:val="16"/>
        </w:rPr>
        <w:t>, November 2018</w:t>
      </w:r>
      <w:r w:rsidRPr="006E1187">
        <w:rPr>
          <w:rFonts w:ascii="Verdana" w:hAnsi="Verdana"/>
          <w:sz w:val="16"/>
          <w:szCs w:val="16"/>
        </w:rPr>
        <w:tab/>
        <w:t>*for 52 weeks ending August 12, 2018</w:t>
      </w:r>
    </w:p>
    <w:p w14:paraId="718411C0" w14:textId="77777777" w:rsidR="00F94CE8" w:rsidRPr="006E1187" w:rsidRDefault="00F94CE8" w:rsidP="00F94CE8">
      <w:pPr>
        <w:pStyle w:val="NoSpacing"/>
        <w:contextualSpacing/>
        <w:rPr>
          <w:sz w:val="20"/>
          <w:szCs w:val="20"/>
        </w:rPr>
      </w:pPr>
    </w:p>
    <w:p w14:paraId="5DFA0CE8" w14:textId="6611D32E" w:rsidR="00031253" w:rsidRPr="006E1187" w:rsidRDefault="00031253" w:rsidP="00031253">
      <w:pPr>
        <w:pStyle w:val="Header"/>
        <w:contextualSpacing/>
        <w:jc w:val="center"/>
        <w:rPr>
          <w:rFonts w:ascii="Verdana" w:hAnsi="Verdana"/>
          <w:b/>
          <w:sz w:val="20"/>
          <w:szCs w:val="20"/>
        </w:rPr>
      </w:pPr>
      <w:r w:rsidRPr="006E1187">
        <w:rPr>
          <w:rFonts w:ascii="Verdana" w:hAnsi="Verdana"/>
          <w:b/>
          <w:sz w:val="20"/>
          <w:szCs w:val="20"/>
        </w:rPr>
        <w:t>Refrigerated Flavored Milk, Eggnog and Buttermilk Brands’ Dollars Sales*</w:t>
      </w:r>
    </w:p>
    <w:tbl>
      <w:tblPr>
        <w:tblW w:w="4800" w:type="dxa"/>
        <w:jc w:val="center"/>
        <w:tblBorders>
          <w:left w:val="single" w:sz="8" w:space="0" w:color="000000"/>
          <w:right w:val="single" w:sz="8" w:space="0" w:color="000000"/>
        </w:tblBorders>
        <w:tblLayout w:type="fixed"/>
        <w:tblLook w:val="0000" w:firstRow="0" w:lastRow="0" w:firstColumn="0" w:lastColumn="0" w:noHBand="0" w:noVBand="0"/>
      </w:tblPr>
      <w:tblGrid>
        <w:gridCol w:w="2460"/>
        <w:gridCol w:w="1170"/>
        <w:gridCol w:w="1170"/>
      </w:tblGrid>
      <w:tr w:rsidR="00031253" w:rsidRPr="006E1187" w14:paraId="52100058" w14:textId="77777777" w:rsidTr="00E3798E">
        <w:trPr>
          <w:jc w:val="center"/>
        </w:trPr>
        <w:tc>
          <w:tcPr>
            <w:tcW w:w="2460" w:type="dxa"/>
            <w:tcBorders>
              <w:top w:val="single" w:sz="12" w:space="0" w:color="000000"/>
              <w:left w:val="single" w:sz="12" w:space="0" w:color="000000"/>
              <w:bottom w:val="single" w:sz="18" w:space="0" w:color="000000"/>
              <w:right w:val="single" w:sz="12" w:space="0" w:color="auto"/>
            </w:tcBorders>
            <w:shd w:val="clear" w:color="auto" w:fill="auto"/>
            <w:vAlign w:val="center"/>
          </w:tcPr>
          <w:p w14:paraId="5CCDFDDE" w14:textId="77777777" w:rsidR="00031253" w:rsidRPr="006E1187" w:rsidRDefault="00031253" w:rsidP="00E3798E">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sidRPr="006E1187">
              <w:rPr>
                <w:rFonts w:ascii="Verdana" w:eastAsia="Times New Roman" w:hAnsi="Verdana"/>
                <w:sz w:val="20"/>
                <w:szCs w:val="20"/>
              </w:rPr>
              <w:t>Brand</w:t>
            </w:r>
          </w:p>
        </w:tc>
        <w:tc>
          <w:tcPr>
            <w:tcW w:w="1170" w:type="dxa"/>
            <w:tcBorders>
              <w:top w:val="single" w:sz="12" w:space="0" w:color="000000"/>
              <w:left w:val="single" w:sz="12" w:space="0" w:color="auto"/>
              <w:bottom w:val="single" w:sz="18" w:space="0" w:color="000000"/>
              <w:right w:val="single" w:sz="8" w:space="0" w:color="auto"/>
            </w:tcBorders>
            <w:vAlign w:val="center"/>
          </w:tcPr>
          <w:p w14:paraId="65910277" w14:textId="77777777"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Sales</w:t>
            </w:r>
          </w:p>
        </w:tc>
        <w:tc>
          <w:tcPr>
            <w:tcW w:w="1170" w:type="dxa"/>
            <w:tcBorders>
              <w:top w:val="single" w:sz="12" w:space="0" w:color="000000"/>
              <w:left w:val="single" w:sz="8" w:space="0" w:color="auto"/>
              <w:bottom w:val="single" w:sz="18" w:space="0" w:color="000000"/>
              <w:right w:val="single" w:sz="12" w:space="0" w:color="auto"/>
            </w:tcBorders>
            <w:vAlign w:val="center"/>
          </w:tcPr>
          <w:p w14:paraId="071880C0" w14:textId="77777777"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center"/>
              <w:rPr>
                <w:rFonts w:ascii="Verdana" w:eastAsia="Times New Roman" w:hAnsi="Verdana"/>
                <w:sz w:val="20"/>
                <w:szCs w:val="20"/>
              </w:rPr>
            </w:pPr>
            <w:r w:rsidRPr="006E1187">
              <w:rPr>
                <w:rFonts w:ascii="Verdana" w:eastAsia="Times New Roman" w:hAnsi="Verdana"/>
                <w:sz w:val="20"/>
                <w:szCs w:val="20"/>
              </w:rPr>
              <w:t>Change</w:t>
            </w:r>
          </w:p>
        </w:tc>
      </w:tr>
      <w:tr w:rsidR="00031253" w:rsidRPr="006E1187" w14:paraId="3695091B" w14:textId="77777777" w:rsidTr="00E3798E">
        <w:trPr>
          <w:jc w:val="center"/>
        </w:trPr>
        <w:tc>
          <w:tcPr>
            <w:tcW w:w="2460" w:type="dxa"/>
            <w:tcBorders>
              <w:top w:val="single" w:sz="18" w:space="0" w:color="000000"/>
              <w:left w:val="single" w:sz="12" w:space="0" w:color="000000"/>
              <w:bottom w:val="single" w:sz="4" w:space="0" w:color="000000"/>
              <w:right w:val="single" w:sz="12" w:space="0" w:color="auto"/>
            </w:tcBorders>
            <w:vAlign w:val="center"/>
          </w:tcPr>
          <w:p w14:paraId="4AEA0B75" w14:textId="77777777"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Private label</w:t>
            </w:r>
          </w:p>
        </w:tc>
        <w:tc>
          <w:tcPr>
            <w:tcW w:w="1170" w:type="dxa"/>
            <w:tcBorders>
              <w:top w:val="single" w:sz="18" w:space="0" w:color="000000"/>
              <w:left w:val="single" w:sz="12" w:space="0" w:color="auto"/>
              <w:bottom w:val="single" w:sz="4" w:space="0" w:color="000000"/>
              <w:right w:val="single" w:sz="8" w:space="0" w:color="auto"/>
            </w:tcBorders>
            <w:vAlign w:val="center"/>
          </w:tcPr>
          <w:p w14:paraId="0FC65907" w14:textId="214C6033"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$334.0 M</w:t>
            </w:r>
          </w:p>
        </w:tc>
        <w:tc>
          <w:tcPr>
            <w:tcW w:w="1170" w:type="dxa"/>
            <w:tcBorders>
              <w:top w:val="single" w:sz="18" w:space="0" w:color="000000"/>
              <w:left w:val="single" w:sz="8" w:space="0" w:color="auto"/>
              <w:bottom w:val="single" w:sz="4" w:space="0" w:color="000000"/>
              <w:right w:val="single" w:sz="12" w:space="0" w:color="auto"/>
            </w:tcBorders>
            <w:vAlign w:val="center"/>
          </w:tcPr>
          <w:p w14:paraId="47522CFF" w14:textId="475245DC"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+0.5%</w:t>
            </w:r>
          </w:p>
        </w:tc>
      </w:tr>
      <w:tr w:rsidR="00031253" w:rsidRPr="006E1187" w14:paraId="3A02B8B2" w14:textId="77777777" w:rsidTr="00E3798E">
        <w:trPr>
          <w:jc w:val="center"/>
        </w:trPr>
        <w:tc>
          <w:tcPr>
            <w:tcW w:w="2460" w:type="dxa"/>
            <w:tcBorders>
              <w:top w:val="single" w:sz="4" w:space="0" w:color="000000"/>
              <w:left w:val="single" w:sz="12" w:space="0" w:color="000000"/>
              <w:bottom w:val="single" w:sz="4" w:space="0" w:color="000000"/>
              <w:right w:val="single" w:sz="12" w:space="0" w:color="auto"/>
            </w:tcBorders>
            <w:vAlign w:val="center"/>
          </w:tcPr>
          <w:p w14:paraId="0E8B1BD1" w14:textId="211CF48F"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TruMoo</w:t>
            </w:r>
          </w:p>
        </w:tc>
        <w:tc>
          <w:tcPr>
            <w:tcW w:w="1170" w:type="dxa"/>
            <w:tcBorders>
              <w:top w:val="single" w:sz="4" w:space="0" w:color="000000"/>
              <w:left w:val="single" w:sz="12" w:space="0" w:color="auto"/>
              <w:bottom w:val="single" w:sz="4" w:space="0" w:color="000000"/>
              <w:right w:val="single" w:sz="8" w:space="0" w:color="auto"/>
            </w:tcBorders>
            <w:vAlign w:val="center"/>
          </w:tcPr>
          <w:p w14:paraId="09B6CD96" w14:textId="02B524AD"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100" w:firstLine="0"/>
              <w:contextualSpacing/>
              <w:jc w:val="right"/>
              <w:rPr>
                <w:rFonts w:ascii="Verdana" w:eastAsia="Times New Roman" w:hAnsi="Verdana"/>
                <w:sz w:val="20"/>
                <w:szCs w:val="20"/>
              </w:rPr>
            </w:pPr>
            <w:r w:rsidRPr="006E1187">
              <w:rPr>
                <w:rFonts w:ascii="Verdana" w:eastAsia="Times New Roman" w:hAnsi="Verdana"/>
                <w:sz w:val="20"/>
                <w:szCs w:val="20"/>
              </w:rPr>
              <w:t>$211.1 M</w:t>
            </w:r>
          </w:p>
        </w:tc>
        <w:tc>
          <w:tcPr>
            <w:tcW w:w="1170" w:type="dxa"/>
            <w:tcBorders>
              <w:top w:val="single" w:sz="4" w:space="0" w:color="000000"/>
              <w:left w:val="single" w:sz="8" w:space="0" w:color="auto"/>
              <w:bottom w:val="single" w:sz="4" w:space="0" w:color="000000"/>
              <w:right w:val="single" w:sz="12" w:space="0" w:color="auto"/>
            </w:tcBorders>
            <w:vAlign w:val="center"/>
          </w:tcPr>
          <w:p w14:paraId="44F9B0DC" w14:textId="40679A4D"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-7.6%</w:t>
            </w:r>
          </w:p>
        </w:tc>
      </w:tr>
      <w:tr w:rsidR="00031253" w:rsidRPr="006E1187" w14:paraId="5864283F" w14:textId="77777777" w:rsidTr="00E3798E">
        <w:trPr>
          <w:jc w:val="center"/>
        </w:trPr>
        <w:tc>
          <w:tcPr>
            <w:tcW w:w="2460" w:type="dxa"/>
            <w:tcBorders>
              <w:top w:val="single" w:sz="4" w:space="0" w:color="000000"/>
              <w:left w:val="single" w:sz="12" w:space="0" w:color="000000"/>
              <w:bottom w:val="single" w:sz="4" w:space="0" w:color="000000"/>
              <w:right w:val="single" w:sz="12" w:space="0" w:color="auto"/>
            </w:tcBorders>
            <w:vAlign w:val="center"/>
          </w:tcPr>
          <w:p w14:paraId="1574572A" w14:textId="6E7276ED"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Prairie Farms</w:t>
            </w:r>
          </w:p>
        </w:tc>
        <w:tc>
          <w:tcPr>
            <w:tcW w:w="1170" w:type="dxa"/>
            <w:tcBorders>
              <w:top w:val="single" w:sz="4" w:space="0" w:color="000000"/>
              <w:left w:val="single" w:sz="12" w:space="0" w:color="auto"/>
              <w:bottom w:val="single" w:sz="4" w:space="0" w:color="000000"/>
              <w:right w:val="single" w:sz="8" w:space="0" w:color="auto"/>
            </w:tcBorders>
            <w:vAlign w:val="center"/>
          </w:tcPr>
          <w:p w14:paraId="2B409936" w14:textId="112900B1"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$99.4 M</w:t>
            </w:r>
          </w:p>
        </w:tc>
        <w:tc>
          <w:tcPr>
            <w:tcW w:w="1170" w:type="dxa"/>
            <w:tcBorders>
              <w:top w:val="single" w:sz="4" w:space="0" w:color="000000"/>
              <w:left w:val="single" w:sz="8" w:space="0" w:color="auto"/>
              <w:bottom w:val="single" w:sz="4" w:space="0" w:color="000000"/>
              <w:right w:val="single" w:sz="12" w:space="0" w:color="auto"/>
            </w:tcBorders>
            <w:vAlign w:val="center"/>
          </w:tcPr>
          <w:p w14:paraId="684273DF" w14:textId="5801F9FB"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-1.1%</w:t>
            </w:r>
          </w:p>
        </w:tc>
      </w:tr>
      <w:tr w:rsidR="00031253" w:rsidRPr="006E1187" w14:paraId="33258A9A" w14:textId="77777777" w:rsidTr="00E3798E">
        <w:trPr>
          <w:jc w:val="center"/>
        </w:trPr>
        <w:tc>
          <w:tcPr>
            <w:tcW w:w="2460" w:type="dxa"/>
            <w:tcBorders>
              <w:top w:val="single" w:sz="4" w:space="0" w:color="000000"/>
              <w:left w:val="single" w:sz="12" w:space="0" w:color="000000"/>
              <w:bottom w:val="single" w:sz="4" w:space="0" w:color="000000"/>
              <w:right w:val="single" w:sz="12" w:space="0" w:color="auto"/>
            </w:tcBorders>
            <w:vAlign w:val="center"/>
          </w:tcPr>
          <w:p w14:paraId="1568EADB" w14:textId="71784F09"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Borden</w:t>
            </w:r>
          </w:p>
        </w:tc>
        <w:tc>
          <w:tcPr>
            <w:tcW w:w="1170" w:type="dxa"/>
            <w:tcBorders>
              <w:top w:val="single" w:sz="4" w:space="0" w:color="000000"/>
              <w:left w:val="single" w:sz="12" w:space="0" w:color="auto"/>
              <w:bottom w:val="single" w:sz="4" w:space="0" w:color="000000"/>
              <w:right w:val="single" w:sz="8" w:space="0" w:color="auto"/>
            </w:tcBorders>
            <w:vAlign w:val="center"/>
          </w:tcPr>
          <w:p w14:paraId="75069199" w14:textId="2AF48C0F"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$97.6 M</w:t>
            </w:r>
          </w:p>
        </w:tc>
        <w:tc>
          <w:tcPr>
            <w:tcW w:w="1170" w:type="dxa"/>
            <w:tcBorders>
              <w:top w:val="single" w:sz="4" w:space="0" w:color="000000"/>
              <w:left w:val="single" w:sz="8" w:space="0" w:color="auto"/>
              <w:bottom w:val="single" w:sz="4" w:space="0" w:color="000000"/>
              <w:right w:val="single" w:sz="12" w:space="0" w:color="auto"/>
            </w:tcBorders>
            <w:vAlign w:val="center"/>
          </w:tcPr>
          <w:p w14:paraId="180C83B6" w14:textId="39DEB4FF"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-0.1%</w:t>
            </w:r>
          </w:p>
        </w:tc>
      </w:tr>
      <w:tr w:rsidR="00031253" w:rsidRPr="006E1187" w14:paraId="0BE93547" w14:textId="77777777" w:rsidTr="00E3798E">
        <w:trPr>
          <w:jc w:val="center"/>
        </w:trPr>
        <w:tc>
          <w:tcPr>
            <w:tcW w:w="2460" w:type="dxa"/>
            <w:tcBorders>
              <w:top w:val="single" w:sz="4" w:space="0" w:color="000000"/>
              <w:left w:val="single" w:sz="12" w:space="0" w:color="000000"/>
              <w:bottom w:val="single" w:sz="4" w:space="0" w:color="000000"/>
              <w:right w:val="single" w:sz="12" w:space="0" w:color="auto"/>
            </w:tcBorders>
            <w:vAlign w:val="center"/>
          </w:tcPr>
          <w:p w14:paraId="4242F33D" w14:textId="7C1F98CA"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Fairlife</w:t>
            </w:r>
          </w:p>
        </w:tc>
        <w:tc>
          <w:tcPr>
            <w:tcW w:w="1170" w:type="dxa"/>
            <w:tcBorders>
              <w:top w:val="single" w:sz="4" w:space="0" w:color="000000"/>
              <w:left w:val="single" w:sz="12" w:space="0" w:color="auto"/>
              <w:bottom w:val="single" w:sz="4" w:space="0" w:color="000000"/>
              <w:right w:val="single" w:sz="8" w:space="0" w:color="auto"/>
            </w:tcBorders>
            <w:vAlign w:val="center"/>
          </w:tcPr>
          <w:p w14:paraId="1D7A34F8" w14:textId="1187C51A"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$87.7 M</w:t>
            </w:r>
          </w:p>
        </w:tc>
        <w:tc>
          <w:tcPr>
            <w:tcW w:w="1170" w:type="dxa"/>
            <w:tcBorders>
              <w:top w:val="single" w:sz="4" w:space="0" w:color="000000"/>
              <w:left w:val="single" w:sz="8" w:space="0" w:color="auto"/>
              <w:bottom w:val="single" w:sz="4" w:space="0" w:color="000000"/>
              <w:right w:val="single" w:sz="12" w:space="0" w:color="auto"/>
            </w:tcBorders>
            <w:vAlign w:val="center"/>
          </w:tcPr>
          <w:p w14:paraId="744EBE58" w14:textId="1633205A"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+17.3%</w:t>
            </w:r>
          </w:p>
        </w:tc>
      </w:tr>
      <w:tr w:rsidR="00031253" w:rsidRPr="006E1187" w14:paraId="5DC77478" w14:textId="77777777" w:rsidTr="00E3798E">
        <w:trPr>
          <w:jc w:val="center"/>
        </w:trPr>
        <w:tc>
          <w:tcPr>
            <w:tcW w:w="2460" w:type="dxa"/>
            <w:tcBorders>
              <w:top w:val="single" w:sz="4" w:space="0" w:color="000000"/>
              <w:left w:val="single" w:sz="12" w:space="0" w:color="000000"/>
              <w:bottom w:val="single" w:sz="4" w:space="0" w:color="000000"/>
              <w:right w:val="single" w:sz="12" w:space="0" w:color="auto"/>
            </w:tcBorders>
            <w:vAlign w:val="center"/>
          </w:tcPr>
          <w:p w14:paraId="0CAD8949" w14:textId="4FA7F7CF"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Hiland</w:t>
            </w:r>
          </w:p>
        </w:tc>
        <w:tc>
          <w:tcPr>
            <w:tcW w:w="1170" w:type="dxa"/>
            <w:tcBorders>
              <w:top w:val="single" w:sz="4" w:space="0" w:color="000000"/>
              <w:left w:val="single" w:sz="12" w:space="0" w:color="auto"/>
              <w:bottom w:val="single" w:sz="4" w:space="0" w:color="000000"/>
              <w:right w:val="single" w:sz="8" w:space="0" w:color="auto"/>
            </w:tcBorders>
            <w:vAlign w:val="center"/>
          </w:tcPr>
          <w:p w14:paraId="78787A9A" w14:textId="6D84D45D"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$67.5 M</w:t>
            </w:r>
          </w:p>
        </w:tc>
        <w:tc>
          <w:tcPr>
            <w:tcW w:w="1170" w:type="dxa"/>
            <w:tcBorders>
              <w:top w:val="single" w:sz="4" w:space="0" w:color="000000"/>
              <w:left w:val="single" w:sz="8" w:space="0" w:color="auto"/>
              <w:bottom w:val="single" w:sz="4" w:space="0" w:color="000000"/>
              <w:right w:val="single" w:sz="12" w:space="0" w:color="auto"/>
            </w:tcBorders>
            <w:vAlign w:val="center"/>
          </w:tcPr>
          <w:p w14:paraId="410451EB" w14:textId="10C9FC2E"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+5.3%</w:t>
            </w:r>
          </w:p>
        </w:tc>
      </w:tr>
      <w:tr w:rsidR="00031253" w:rsidRPr="006E1187" w14:paraId="080CB4F8" w14:textId="77777777" w:rsidTr="00E3798E">
        <w:trPr>
          <w:jc w:val="center"/>
        </w:trPr>
        <w:tc>
          <w:tcPr>
            <w:tcW w:w="2460" w:type="dxa"/>
            <w:tcBorders>
              <w:top w:val="single" w:sz="4" w:space="0" w:color="000000"/>
              <w:left w:val="single" w:sz="12" w:space="0" w:color="000000"/>
              <w:bottom w:val="single" w:sz="4" w:space="0" w:color="000000"/>
              <w:right w:val="single" w:sz="12" w:space="0" w:color="auto"/>
            </w:tcBorders>
            <w:vAlign w:val="center"/>
          </w:tcPr>
          <w:p w14:paraId="47CC001A" w14:textId="5D9B5945"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Dean’s Country Fresh</w:t>
            </w:r>
          </w:p>
        </w:tc>
        <w:tc>
          <w:tcPr>
            <w:tcW w:w="1170" w:type="dxa"/>
            <w:tcBorders>
              <w:top w:val="single" w:sz="4" w:space="0" w:color="000000"/>
              <w:left w:val="single" w:sz="12" w:space="0" w:color="auto"/>
              <w:bottom w:val="single" w:sz="4" w:space="0" w:color="000000"/>
              <w:right w:val="single" w:sz="8" w:space="0" w:color="auto"/>
            </w:tcBorders>
            <w:vAlign w:val="center"/>
          </w:tcPr>
          <w:p w14:paraId="782CBD7C" w14:textId="6D8FED1E"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$53.4 M</w:t>
            </w:r>
          </w:p>
        </w:tc>
        <w:tc>
          <w:tcPr>
            <w:tcW w:w="1170" w:type="dxa"/>
            <w:tcBorders>
              <w:top w:val="single" w:sz="4" w:space="0" w:color="000000"/>
              <w:left w:val="single" w:sz="8" w:space="0" w:color="auto"/>
              <w:bottom w:val="single" w:sz="4" w:space="0" w:color="000000"/>
              <w:right w:val="single" w:sz="12" w:space="0" w:color="auto"/>
            </w:tcBorders>
            <w:vAlign w:val="center"/>
          </w:tcPr>
          <w:p w14:paraId="676E284B" w14:textId="3E39CA5A"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+0.6%</w:t>
            </w:r>
          </w:p>
        </w:tc>
      </w:tr>
      <w:tr w:rsidR="00031253" w:rsidRPr="006E1187" w14:paraId="53D9B168" w14:textId="77777777" w:rsidTr="00E3798E">
        <w:trPr>
          <w:jc w:val="center"/>
        </w:trPr>
        <w:tc>
          <w:tcPr>
            <w:tcW w:w="2460" w:type="dxa"/>
            <w:tcBorders>
              <w:top w:val="single" w:sz="4" w:space="0" w:color="000000"/>
              <w:left w:val="single" w:sz="12" w:space="0" w:color="000000"/>
              <w:bottom w:val="single" w:sz="4" w:space="0" w:color="000000"/>
              <w:right w:val="single" w:sz="12" w:space="0" w:color="auto"/>
            </w:tcBorders>
            <w:vAlign w:val="center"/>
          </w:tcPr>
          <w:p w14:paraId="6A873AE6" w14:textId="704E64CD"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Hood</w:t>
            </w:r>
          </w:p>
        </w:tc>
        <w:tc>
          <w:tcPr>
            <w:tcW w:w="1170" w:type="dxa"/>
            <w:tcBorders>
              <w:top w:val="single" w:sz="4" w:space="0" w:color="000000"/>
              <w:left w:val="single" w:sz="12" w:space="0" w:color="auto"/>
              <w:bottom w:val="single" w:sz="4" w:space="0" w:color="000000"/>
              <w:right w:val="single" w:sz="8" w:space="0" w:color="auto"/>
            </w:tcBorders>
            <w:vAlign w:val="center"/>
          </w:tcPr>
          <w:p w14:paraId="60EB7B38" w14:textId="2F97424D"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$51.4 M</w:t>
            </w:r>
          </w:p>
        </w:tc>
        <w:tc>
          <w:tcPr>
            <w:tcW w:w="1170" w:type="dxa"/>
            <w:tcBorders>
              <w:top w:val="single" w:sz="4" w:space="0" w:color="000000"/>
              <w:left w:val="single" w:sz="8" w:space="0" w:color="auto"/>
              <w:bottom w:val="single" w:sz="4" w:space="0" w:color="000000"/>
              <w:right w:val="single" w:sz="12" w:space="0" w:color="auto"/>
            </w:tcBorders>
            <w:vAlign w:val="center"/>
          </w:tcPr>
          <w:p w14:paraId="44E3023D" w14:textId="39CFD692"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+8.1%</w:t>
            </w:r>
          </w:p>
        </w:tc>
      </w:tr>
      <w:tr w:rsidR="00031253" w:rsidRPr="006E1187" w14:paraId="66D17E39" w14:textId="77777777" w:rsidTr="00E3798E">
        <w:trPr>
          <w:jc w:val="center"/>
        </w:trPr>
        <w:tc>
          <w:tcPr>
            <w:tcW w:w="2460" w:type="dxa"/>
            <w:tcBorders>
              <w:top w:val="single" w:sz="4" w:space="0" w:color="000000"/>
              <w:left w:val="single" w:sz="12" w:space="0" w:color="000000"/>
              <w:bottom w:val="single" w:sz="4" w:space="0" w:color="000000"/>
              <w:right w:val="single" w:sz="12" w:space="0" w:color="auto"/>
            </w:tcBorders>
            <w:vAlign w:val="center"/>
          </w:tcPr>
          <w:p w14:paraId="6177B50D" w14:textId="6CC74F79"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Darigold</w:t>
            </w:r>
          </w:p>
        </w:tc>
        <w:tc>
          <w:tcPr>
            <w:tcW w:w="1170" w:type="dxa"/>
            <w:tcBorders>
              <w:top w:val="single" w:sz="4" w:space="0" w:color="000000"/>
              <w:left w:val="single" w:sz="12" w:space="0" w:color="auto"/>
              <w:bottom w:val="single" w:sz="4" w:space="0" w:color="000000"/>
              <w:right w:val="single" w:sz="8" w:space="0" w:color="auto"/>
            </w:tcBorders>
            <w:vAlign w:val="center"/>
          </w:tcPr>
          <w:p w14:paraId="48699E7F" w14:textId="2A4C449E"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$48.0 M</w:t>
            </w:r>
          </w:p>
        </w:tc>
        <w:tc>
          <w:tcPr>
            <w:tcW w:w="1170" w:type="dxa"/>
            <w:tcBorders>
              <w:top w:val="single" w:sz="4" w:space="0" w:color="000000"/>
              <w:left w:val="single" w:sz="8" w:space="0" w:color="auto"/>
              <w:bottom w:val="single" w:sz="4" w:space="0" w:color="000000"/>
              <w:right w:val="single" w:sz="12" w:space="0" w:color="auto"/>
            </w:tcBorders>
            <w:vAlign w:val="center"/>
          </w:tcPr>
          <w:p w14:paraId="16F241C2" w14:textId="4A7D2510"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+9.1%</w:t>
            </w:r>
          </w:p>
        </w:tc>
      </w:tr>
      <w:tr w:rsidR="00031253" w:rsidRPr="006E1187" w14:paraId="75487E36" w14:textId="77777777" w:rsidTr="00E3798E">
        <w:trPr>
          <w:jc w:val="center"/>
        </w:trPr>
        <w:tc>
          <w:tcPr>
            <w:tcW w:w="2460" w:type="dxa"/>
            <w:tcBorders>
              <w:top w:val="single" w:sz="4" w:space="0" w:color="000000"/>
              <w:left w:val="single" w:sz="12" w:space="0" w:color="000000"/>
              <w:bottom w:val="single" w:sz="4" w:space="0" w:color="000000"/>
              <w:right w:val="single" w:sz="12" w:space="0" w:color="auto"/>
            </w:tcBorders>
            <w:vAlign w:val="center"/>
          </w:tcPr>
          <w:p w14:paraId="0DE44D3E" w14:textId="575A66D8"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Lala</w:t>
            </w:r>
          </w:p>
        </w:tc>
        <w:tc>
          <w:tcPr>
            <w:tcW w:w="1170" w:type="dxa"/>
            <w:tcBorders>
              <w:top w:val="single" w:sz="4" w:space="0" w:color="000000"/>
              <w:left w:val="single" w:sz="12" w:space="0" w:color="auto"/>
              <w:bottom w:val="single" w:sz="4" w:space="0" w:color="000000"/>
              <w:right w:val="single" w:sz="8" w:space="0" w:color="auto"/>
            </w:tcBorders>
            <w:vAlign w:val="center"/>
          </w:tcPr>
          <w:p w14:paraId="0A73F2A8" w14:textId="7824CCD8"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$35.3 M</w:t>
            </w:r>
          </w:p>
        </w:tc>
        <w:tc>
          <w:tcPr>
            <w:tcW w:w="1170" w:type="dxa"/>
            <w:tcBorders>
              <w:top w:val="single" w:sz="4" w:space="0" w:color="000000"/>
              <w:left w:val="single" w:sz="8" w:space="0" w:color="auto"/>
              <w:bottom w:val="single" w:sz="4" w:space="0" w:color="000000"/>
              <w:right w:val="single" w:sz="12" w:space="0" w:color="auto"/>
            </w:tcBorders>
            <w:vAlign w:val="center"/>
          </w:tcPr>
          <w:p w14:paraId="1D30D42D" w14:textId="5BF18AA9"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+22.9%</w:t>
            </w:r>
          </w:p>
        </w:tc>
      </w:tr>
      <w:tr w:rsidR="00031253" w:rsidRPr="006E1187" w14:paraId="36B251F1" w14:textId="77777777" w:rsidTr="00E3798E">
        <w:trPr>
          <w:jc w:val="center"/>
        </w:trPr>
        <w:tc>
          <w:tcPr>
            <w:tcW w:w="2460" w:type="dxa"/>
            <w:tcBorders>
              <w:top w:val="single" w:sz="4" w:space="0" w:color="000000"/>
              <w:left w:val="single" w:sz="12" w:space="0" w:color="000000"/>
              <w:bottom w:val="single" w:sz="12" w:space="0" w:color="000000"/>
              <w:right w:val="single" w:sz="12" w:space="0" w:color="auto"/>
            </w:tcBorders>
            <w:vAlign w:val="center"/>
          </w:tcPr>
          <w:p w14:paraId="791EE2D6" w14:textId="46FB74F3" w:rsidR="00031253" w:rsidRPr="006E1187" w:rsidRDefault="00031253" w:rsidP="006E1187">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sidRPr="006E1187">
              <w:rPr>
                <w:rFonts w:ascii="Verdana" w:eastAsia="Times New Roman" w:hAnsi="Verdana"/>
                <w:sz w:val="20"/>
                <w:szCs w:val="20"/>
              </w:rPr>
              <w:t>Total category</w:t>
            </w:r>
          </w:p>
        </w:tc>
        <w:tc>
          <w:tcPr>
            <w:tcW w:w="1170" w:type="dxa"/>
            <w:tcBorders>
              <w:top w:val="single" w:sz="4" w:space="0" w:color="000000"/>
              <w:left w:val="single" w:sz="12" w:space="0" w:color="auto"/>
              <w:bottom w:val="single" w:sz="12" w:space="0" w:color="000000"/>
              <w:right w:val="single" w:sz="8" w:space="0" w:color="auto"/>
            </w:tcBorders>
            <w:vAlign w:val="center"/>
          </w:tcPr>
          <w:p w14:paraId="30F12A72" w14:textId="079D7F8F"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$1.53 B</w:t>
            </w:r>
          </w:p>
        </w:tc>
        <w:tc>
          <w:tcPr>
            <w:tcW w:w="1170" w:type="dxa"/>
            <w:tcBorders>
              <w:top w:val="single" w:sz="4" w:space="0" w:color="000000"/>
              <w:left w:val="single" w:sz="8" w:space="0" w:color="auto"/>
              <w:bottom w:val="single" w:sz="12" w:space="0" w:color="000000"/>
              <w:right w:val="single" w:sz="12" w:space="0" w:color="auto"/>
            </w:tcBorders>
            <w:vAlign w:val="center"/>
          </w:tcPr>
          <w:p w14:paraId="2EF63740" w14:textId="574CEE42" w:rsidR="00031253" w:rsidRPr="006E1187" w:rsidRDefault="00031253" w:rsidP="00E3798E">
            <w:pPr>
              <w:widowControl w:val="0"/>
              <w:numPr>
                <w:ilvl w:val="0"/>
                <w:numId w:val="2"/>
              </w:numPr>
              <w:tabs>
                <w:tab w:val="left" w:pos="220"/>
                <w:tab w:val="left" w:pos="720"/>
              </w:tabs>
              <w:autoSpaceDE w:val="0"/>
              <w:autoSpaceDN w:val="0"/>
              <w:adjustRightInd w:val="0"/>
              <w:spacing w:after="0" w:line="240" w:lineRule="auto"/>
              <w:ind w:left="0" w:firstLine="0"/>
              <w:contextualSpacing/>
              <w:jc w:val="right"/>
              <w:rPr>
                <w:rFonts w:ascii="Verdana" w:eastAsia="Times New Roman" w:hAnsi="Verdana"/>
                <w:sz w:val="20"/>
                <w:szCs w:val="20"/>
              </w:rPr>
            </w:pPr>
            <w:r w:rsidRPr="006E1187">
              <w:rPr>
                <w:rFonts w:ascii="Verdana" w:eastAsia="Times New Roman" w:hAnsi="Verdana"/>
                <w:sz w:val="20"/>
                <w:szCs w:val="20"/>
              </w:rPr>
              <w:t>-0.5%</w:t>
            </w:r>
          </w:p>
        </w:tc>
      </w:tr>
    </w:tbl>
    <w:p w14:paraId="71FE4D29" w14:textId="77777777" w:rsidR="00031253" w:rsidRPr="006E1187" w:rsidRDefault="00031253" w:rsidP="00031253">
      <w:pPr>
        <w:tabs>
          <w:tab w:val="left" w:pos="2250"/>
        </w:tabs>
        <w:spacing w:after="0" w:line="240" w:lineRule="auto"/>
        <w:contextualSpacing/>
        <w:mirrorIndents/>
        <w:rPr>
          <w:rFonts w:ascii="Verdana" w:hAnsi="Verdana"/>
          <w:sz w:val="20"/>
          <w:szCs w:val="20"/>
        </w:rPr>
      </w:pPr>
      <w:r w:rsidRPr="006E1187">
        <w:rPr>
          <w:rFonts w:ascii="Verdana" w:hAnsi="Verdana"/>
          <w:i/>
          <w:sz w:val="16"/>
          <w:szCs w:val="16"/>
        </w:rPr>
        <w:tab/>
        <w:t>Dairy Foods</w:t>
      </w:r>
      <w:r w:rsidRPr="006E1187">
        <w:rPr>
          <w:rFonts w:ascii="Verdana" w:hAnsi="Verdana"/>
          <w:sz w:val="16"/>
          <w:szCs w:val="16"/>
        </w:rPr>
        <w:t>, November 2018</w:t>
      </w:r>
      <w:r w:rsidRPr="006E1187">
        <w:rPr>
          <w:rFonts w:ascii="Verdana" w:hAnsi="Verdana"/>
          <w:sz w:val="16"/>
          <w:szCs w:val="16"/>
        </w:rPr>
        <w:tab/>
        <w:t>*for 52 weeks ending August 12, 2018</w:t>
      </w:r>
    </w:p>
    <w:p w14:paraId="72A9D893" w14:textId="77777777" w:rsidR="00F94CE8" w:rsidRPr="006E1187" w:rsidRDefault="00F94CE8" w:rsidP="00F94CE8">
      <w:pPr>
        <w:pStyle w:val="NoSpacing"/>
        <w:contextualSpacing/>
        <w:rPr>
          <w:sz w:val="20"/>
          <w:szCs w:val="20"/>
        </w:rPr>
      </w:pPr>
    </w:p>
    <w:p w14:paraId="78E679E8" w14:textId="77777777" w:rsidR="00F94CE8" w:rsidRPr="006E1187" w:rsidRDefault="00F94CE8" w:rsidP="00F94CE8">
      <w:pPr>
        <w:pStyle w:val="NoSpacing"/>
        <w:contextualSpacing/>
        <w:rPr>
          <w:sz w:val="20"/>
          <w:szCs w:val="20"/>
        </w:rPr>
      </w:pPr>
    </w:p>
    <w:p w14:paraId="3CDFB8E2" w14:textId="77777777" w:rsidR="00F94CE8" w:rsidRPr="006E1187" w:rsidRDefault="00F94CE8" w:rsidP="00F94CE8">
      <w:pPr>
        <w:pStyle w:val="NoSpacing"/>
        <w:contextualSpacing/>
        <w:rPr>
          <w:sz w:val="20"/>
          <w:szCs w:val="20"/>
        </w:rPr>
      </w:pPr>
    </w:p>
    <w:p w14:paraId="6DC49CD3" w14:textId="77777777" w:rsidR="00F94CE8" w:rsidRPr="006E1187" w:rsidRDefault="00F94CE8" w:rsidP="00F94CE8">
      <w:pPr>
        <w:pStyle w:val="NoSpacing"/>
        <w:contextualSpacing/>
        <w:rPr>
          <w:sz w:val="20"/>
          <w:szCs w:val="20"/>
        </w:rPr>
      </w:pPr>
    </w:p>
    <w:p w14:paraId="2AC14BFB" w14:textId="77777777" w:rsidR="00F94CE8" w:rsidRPr="006E1187" w:rsidRDefault="00F94CE8" w:rsidP="00F94CE8">
      <w:pPr>
        <w:pStyle w:val="NoSpacing"/>
        <w:contextualSpacing/>
        <w:rPr>
          <w:sz w:val="20"/>
          <w:szCs w:val="20"/>
        </w:rPr>
      </w:pPr>
    </w:p>
    <w:p w14:paraId="548CA371" w14:textId="77777777" w:rsidR="00F94CE8" w:rsidRPr="006E1187" w:rsidRDefault="00F94CE8" w:rsidP="00F94CE8">
      <w:pPr>
        <w:pStyle w:val="NoSpacing"/>
        <w:contextualSpacing/>
        <w:rPr>
          <w:sz w:val="20"/>
          <w:szCs w:val="20"/>
        </w:rPr>
      </w:pPr>
    </w:p>
    <w:p w14:paraId="3266F5ED" w14:textId="77777777" w:rsidR="00F94CE8" w:rsidRPr="006E1187" w:rsidRDefault="00F94CE8" w:rsidP="00F94CE8">
      <w:pPr>
        <w:pStyle w:val="NoSpacing"/>
        <w:contextualSpacing/>
        <w:rPr>
          <w:sz w:val="20"/>
          <w:szCs w:val="20"/>
        </w:rPr>
      </w:pPr>
    </w:p>
    <w:p w14:paraId="32F550B4" w14:textId="77777777" w:rsidR="00F94CE8" w:rsidRPr="006E1187" w:rsidRDefault="00F94CE8" w:rsidP="00F94CE8">
      <w:pPr>
        <w:pStyle w:val="NoSpacing"/>
        <w:contextualSpacing/>
        <w:rPr>
          <w:sz w:val="20"/>
          <w:szCs w:val="20"/>
        </w:rPr>
      </w:pPr>
    </w:p>
    <w:p w14:paraId="777770F7" w14:textId="77777777" w:rsidR="00F94CE8" w:rsidRPr="006E1187" w:rsidRDefault="00F94CE8" w:rsidP="00F94CE8">
      <w:pPr>
        <w:pStyle w:val="NoSpacing"/>
        <w:contextualSpacing/>
        <w:rPr>
          <w:sz w:val="20"/>
          <w:szCs w:val="20"/>
        </w:rPr>
      </w:pPr>
    </w:p>
    <w:p w14:paraId="3C35B056" w14:textId="77777777" w:rsidR="00F94CE8" w:rsidRPr="006E1187" w:rsidRDefault="00F94CE8" w:rsidP="00F94CE8">
      <w:pPr>
        <w:pStyle w:val="NoSpacing"/>
        <w:contextualSpacing/>
        <w:rPr>
          <w:sz w:val="20"/>
          <w:szCs w:val="20"/>
        </w:rPr>
      </w:pPr>
    </w:p>
    <w:p w14:paraId="72BAAFC7" w14:textId="29FE2924" w:rsidR="00F94CE8" w:rsidRPr="00E3798E" w:rsidRDefault="00F94CE8" w:rsidP="00F94CE8">
      <w:pPr>
        <w:spacing w:after="0" w:line="240" w:lineRule="auto"/>
        <w:rPr>
          <w:rFonts w:ascii="Verdana" w:hAnsi="Verdana"/>
          <w:sz w:val="16"/>
          <w:szCs w:val="16"/>
        </w:rPr>
      </w:pPr>
      <w:r w:rsidRPr="006E1187">
        <w:rPr>
          <w:rFonts w:ascii="Verdana" w:hAnsi="Verdana"/>
          <w:i/>
          <w:sz w:val="16"/>
        </w:rPr>
        <w:t>Sources:</w:t>
      </w:r>
      <w:r w:rsidRPr="006E1187">
        <w:rPr>
          <w:rFonts w:ascii="Verdana" w:hAnsi="Verdana"/>
          <w:sz w:val="16"/>
        </w:rPr>
        <w:t xml:space="preserve"> </w:t>
      </w:r>
      <w:r w:rsidR="00E3798E" w:rsidRPr="00E3798E">
        <w:rPr>
          <w:i/>
          <w:sz w:val="16"/>
          <w:szCs w:val="16"/>
        </w:rPr>
        <w:t>Dairy Foods</w:t>
      </w:r>
      <w:r w:rsidR="00E3798E" w:rsidRPr="00E3798E">
        <w:rPr>
          <w:sz w:val="16"/>
          <w:szCs w:val="16"/>
        </w:rPr>
        <w:t xml:space="preserve"> </w:t>
      </w:r>
      <w:r w:rsidRPr="00E3798E">
        <w:rPr>
          <w:rFonts w:ascii="Verdana" w:hAnsi="Verdana"/>
          <w:sz w:val="16"/>
          <w:szCs w:val="16"/>
        </w:rPr>
        <w:t xml:space="preserve">Website, </w:t>
      </w:r>
      <w:r w:rsidR="003D6958" w:rsidRPr="00E3798E">
        <w:rPr>
          <w:rFonts w:ascii="Verdana" w:hAnsi="Verdana"/>
          <w:sz w:val="16"/>
          <w:szCs w:val="16"/>
        </w:rPr>
        <w:t>6</w:t>
      </w:r>
      <w:r w:rsidR="00306D88" w:rsidRPr="00E3798E">
        <w:rPr>
          <w:rFonts w:ascii="Verdana" w:hAnsi="Verdana"/>
          <w:sz w:val="16"/>
          <w:szCs w:val="16"/>
        </w:rPr>
        <w:t>/1</w:t>
      </w:r>
      <w:r w:rsidR="002E1F38" w:rsidRPr="00E3798E">
        <w:rPr>
          <w:rFonts w:ascii="Verdana" w:hAnsi="Verdana"/>
          <w:sz w:val="16"/>
          <w:szCs w:val="16"/>
        </w:rPr>
        <w:t>9</w:t>
      </w:r>
      <w:r w:rsidRPr="00E3798E">
        <w:rPr>
          <w:rFonts w:ascii="Verdana" w:hAnsi="Verdana"/>
          <w:sz w:val="16"/>
          <w:szCs w:val="16"/>
        </w:rPr>
        <w:t xml:space="preserve">; </w:t>
      </w:r>
      <w:r w:rsidR="00E3798E" w:rsidRPr="00E3798E">
        <w:rPr>
          <w:sz w:val="16"/>
          <w:szCs w:val="16"/>
        </w:rPr>
        <w:t xml:space="preserve">Food Navigator </w:t>
      </w:r>
      <w:r w:rsidRPr="00E3798E">
        <w:rPr>
          <w:rFonts w:ascii="Verdana" w:hAnsi="Verdana"/>
          <w:sz w:val="16"/>
          <w:szCs w:val="16"/>
        </w:rPr>
        <w:t xml:space="preserve">Website, </w:t>
      </w:r>
      <w:r w:rsidR="003D6958" w:rsidRPr="00E3798E">
        <w:rPr>
          <w:rFonts w:ascii="Verdana" w:hAnsi="Verdana"/>
          <w:sz w:val="16"/>
          <w:szCs w:val="16"/>
        </w:rPr>
        <w:t>6</w:t>
      </w:r>
      <w:r w:rsidR="00306D88" w:rsidRPr="00E3798E">
        <w:rPr>
          <w:rFonts w:ascii="Verdana" w:hAnsi="Verdana"/>
          <w:sz w:val="16"/>
          <w:szCs w:val="16"/>
        </w:rPr>
        <w:t>/1</w:t>
      </w:r>
      <w:r w:rsidR="002E1F38" w:rsidRPr="00E3798E">
        <w:rPr>
          <w:rFonts w:ascii="Verdana" w:hAnsi="Verdana"/>
          <w:sz w:val="16"/>
          <w:szCs w:val="16"/>
        </w:rPr>
        <w:t>9</w:t>
      </w:r>
      <w:r w:rsidRPr="00E3798E">
        <w:rPr>
          <w:rFonts w:ascii="Verdana" w:hAnsi="Verdana"/>
          <w:sz w:val="16"/>
          <w:szCs w:val="16"/>
        </w:rPr>
        <w:t xml:space="preserve">; </w:t>
      </w:r>
      <w:r w:rsidR="00E3798E" w:rsidRPr="00E3798E">
        <w:rPr>
          <w:sz w:val="16"/>
          <w:szCs w:val="16"/>
        </w:rPr>
        <w:t xml:space="preserve">Winsight Grocery Business </w:t>
      </w:r>
      <w:r w:rsidRPr="00E3798E">
        <w:rPr>
          <w:rFonts w:ascii="Verdana" w:hAnsi="Verdana"/>
          <w:sz w:val="16"/>
          <w:szCs w:val="16"/>
        </w:rPr>
        <w:t>Website</w:t>
      </w:r>
      <w:r w:rsidR="00A00453" w:rsidRPr="00E3798E">
        <w:rPr>
          <w:rFonts w:ascii="Verdana" w:hAnsi="Verdana"/>
          <w:sz w:val="16"/>
          <w:szCs w:val="16"/>
        </w:rPr>
        <w:t xml:space="preserve">, </w:t>
      </w:r>
      <w:r w:rsidR="003D6958" w:rsidRPr="00E3798E">
        <w:rPr>
          <w:rFonts w:ascii="Verdana" w:hAnsi="Verdana"/>
          <w:sz w:val="16"/>
          <w:szCs w:val="16"/>
        </w:rPr>
        <w:t>6</w:t>
      </w:r>
      <w:r w:rsidR="00306D88" w:rsidRPr="00E3798E">
        <w:rPr>
          <w:rFonts w:ascii="Verdana" w:hAnsi="Verdana"/>
          <w:sz w:val="16"/>
          <w:szCs w:val="16"/>
        </w:rPr>
        <w:t>/1</w:t>
      </w:r>
      <w:r w:rsidR="002E1F38" w:rsidRPr="00E3798E">
        <w:rPr>
          <w:rFonts w:ascii="Verdana" w:hAnsi="Verdana"/>
          <w:sz w:val="16"/>
          <w:szCs w:val="16"/>
        </w:rPr>
        <w:t>9</w:t>
      </w:r>
      <w:r w:rsidRPr="00E3798E">
        <w:rPr>
          <w:rFonts w:ascii="Verdana" w:hAnsi="Verdana"/>
          <w:sz w:val="16"/>
          <w:szCs w:val="16"/>
        </w:rPr>
        <w:t>.</w:t>
      </w:r>
    </w:p>
    <w:p w14:paraId="7EF64BA4" w14:textId="77777777" w:rsidR="00F94CE8" w:rsidRPr="006E1187" w:rsidRDefault="00F94CE8" w:rsidP="00F94CE8">
      <w:pPr>
        <w:spacing w:after="0" w:line="240" w:lineRule="auto"/>
        <w:rPr>
          <w:rFonts w:ascii="Verdana" w:hAnsi="Verdana"/>
          <w:sz w:val="16"/>
        </w:rPr>
      </w:pPr>
    </w:p>
    <w:p w14:paraId="49C0D793" w14:textId="0DD95CBA" w:rsidR="00F94CE8" w:rsidRPr="006E1187" w:rsidRDefault="00F94CE8" w:rsidP="00F94CE8">
      <w:pPr>
        <w:spacing w:after="0" w:line="240" w:lineRule="auto"/>
        <w:rPr>
          <w:rFonts w:ascii="Verdana" w:hAnsi="Verdana"/>
          <w:strike/>
          <w:sz w:val="16"/>
        </w:rPr>
      </w:pPr>
      <w:r w:rsidRPr="006E1187">
        <w:rPr>
          <w:rFonts w:ascii="Verdana" w:hAnsi="Verdana"/>
          <w:i/>
          <w:sz w:val="16"/>
        </w:rPr>
        <w:t>Updated</w:t>
      </w:r>
      <w:r w:rsidR="003F0FE1" w:rsidRPr="006E1187">
        <w:rPr>
          <w:rFonts w:ascii="Verdana" w:hAnsi="Verdana"/>
          <w:sz w:val="16"/>
        </w:rPr>
        <w:t xml:space="preserve">: </w:t>
      </w:r>
      <w:r w:rsidR="003D6958" w:rsidRPr="006E1187">
        <w:rPr>
          <w:rFonts w:ascii="Verdana" w:hAnsi="Verdana"/>
          <w:sz w:val="16"/>
        </w:rPr>
        <w:t>June</w:t>
      </w:r>
      <w:r w:rsidR="002E1F38" w:rsidRPr="006E1187">
        <w:rPr>
          <w:rFonts w:ascii="Verdana" w:hAnsi="Verdana"/>
          <w:sz w:val="16"/>
        </w:rPr>
        <w:t xml:space="preserve"> 2019</w:t>
      </w:r>
    </w:p>
    <w:p w14:paraId="061B0C21" w14:textId="77777777" w:rsidR="00F94CE8" w:rsidRPr="006E1187" w:rsidRDefault="00F94CE8" w:rsidP="00F94CE8">
      <w:pPr>
        <w:pStyle w:val="NoSpacing"/>
        <w:contextualSpacing/>
        <w:rPr>
          <w:sz w:val="20"/>
          <w:szCs w:val="20"/>
        </w:rPr>
      </w:pPr>
    </w:p>
    <w:p w14:paraId="56AD0CC7" w14:textId="36A96073" w:rsidR="00F94CE8" w:rsidRPr="006E1187" w:rsidRDefault="00F94CE8" w:rsidP="00F94CE8">
      <w:pPr>
        <w:pStyle w:val="NoSpacing"/>
        <w:contextualSpacing/>
        <w:rPr>
          <w:sz w:val="16"/>
          <w:szCs w:val="16"/>
        </w:rPr>
      </w:pPr>
      <w:r w:rsidRPr="006E1187">
        <w:rPr>
          <w:rFonts w:ascii="Verdana" w:hAnsi="Verdana"/>
          <w:sz w:val="16"/>
          <w:szCs w:val="16"/>
        </w:rPr>
        <w:t>©</w:t>
      </w:r>
      <w:r w:rsidR="00306D88" w:rsidRPr="006E1187">
        <w:rPr>
          <w:sz w:val="16"/>
          <w:szCs w:val="16"/>
        </w:rPr>
        <w:t xml:space="preserve"> 201</w:t>
      </w:r>
      <w:r w:rsidR="00875007" w:rsidRPr="006E1187">
        <w:rPr>
          <w:sz w:val="16"/>
          <w:szCs w:val="16"/>
        </w:rPr>
        <w:t>9</w:t>
      </w:r>
      <w:r w:rsidRPr="006E1187">
        <w:rPr>
          <w:sz w:val="16"/>
          <w:szCs w:val="16"/>
        </w:rPr>
        <w:t xml:space="preserve"> Media Group Online, Inc. All rights reserved.</w:t>
      </w:r>
    </w:p>
    <w:p w14:paraId="47D01060" w14:textId="64A6C5D5" w:rsidR="00F94CE8" w:rsidRPr="006E1187" w:rsidRDefault="00F94CE8" w:rsidP="00260DE9">
      <w:pPr>
        <w:pStyle w:val="NoSpacing"/>
        <w:rPr>
          <w:sz w:val="20"/>
          <w:szCs w:val="20"/>
        </w:rPr>
      </w:pPr>
    </w:p>
    <w:p w14:paraId="6D0066ED" w14:textId="4379772D" w:rsidR="00AE1F72" w:rsidRPr="006E1187" w:rsidRDefault="00AE1F72" w:rsidP="00260DE9">
      <w:pPr>
        <w:pStyle w:val="NoSpacing"/>
        <w:rPr>
          <w:sz w:val="20"/>
          <w:szCs w:val="20"/>
        </w:rPr>
      </w:pPr>
    </w:p>
    <w:p w14:paraId="25DDD48A" w14:textId="4A2F67C8" w:rsidR="00AE1F72" w:rsidRPr="006E1187" w:rsidRDefault="00AE1F72">
      <w:pPr>
        <w:rPr>
          <w:sz w:val="20"/>
          <w:szCs w:val="20"/>
        </w:rPr>
      </w:pPr>
      <w:r w:rsidRPr="006E1187">
        <w:rPr>
          <w:sz w:val="20"/>
          <w:szCs w:val="20"/>
        </w:rPr>
        <w:br w:type="page"/>
      </w:r>
    </w:p>
    <w:p w14:paraId="392FDD45" w14:textId="77777777" w:rsidR="00AE1F72" w:rsidRPr="006E1187" w:rsidRDefault="00AE1F72" w:rsidP="00AE1F72">
      <w:pPr>
        <w:pStyle w:val="NoSpacing"/>
        <w:jc w:val="center"/>
        <w:rPr>
          <w:b/>
          <w:color w:val="0070C0"/>
          <w:sz w:val="20"/>
          <w:szCs w:val="20"/>
        </w:rPr>
      </w:pPr>
      <w:r w:rsidRPr="006E1187">
        <w:rPr>
          <w:b/>
          <w:color w:val="0070C0"/>
          <w:sz w:val="20"/>
          <w:szCs w:val="20"/>
        </w:rPr>
        <w:lastRenderedPageBreak/>
        <w:t>For Your Local and Station Information</w:t>
      </w:r>
    </w:p>
    <w:p w14:paraId="17AD3F99" w14:textId="77777777" w:rsidR="00AE1F72" w:rsidRPr="006E1187" w:rsidRDefault="00AE1F72" w:rsidP="00260DE9">
      <w:pPr>
        <w:pStyle w:val="NoSpacing"/>
        <w:rPr>
          <w:sz w:val="20"/>
          <w:szCs w:val="20"/>
        </w:rPr>
      </w:pPr>
    </w:p>
    <w:sectPr w:rsidR="00AE1F72" w:rsidRPr="006E1187"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6497B" w14:textId="77777777" w:rsidR="00DE4B91" w:rsidRDefault="00DE4B91" w:rsidP="00260DE9">
      <w:pPr>
        <w:spacing w:after="0" w:line="240" w:lineRule="auto"/>
      </w:pPr>
      <w:r>
        <w:separator/>
      </w:r>
    </w:p>
  </w:endnote>
  <w:endnote w:type="continuationSeparator" w:id="0">
    <w:p w14:paraId="3C5549B3" w14:textId="77777777" w:rsidR="00DE4B91" w:rsidRDefault="00DE4B91"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B63B7" w14:textId="77777777" w:rsidR="006E1187" w:rsidRDefault="006E1187"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6E1187" w:rsidRPr="0097480E" w:rsidRDefault="006E1187"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10974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844C" w14:textId="77777777" w:rsidR="00DE4B91" w:rsidRDefault="00DE4B91" w:rsidP="00260DE9">
      <w:pPr>
        <w:spacing w:after="0" w:line="240" w:lineRule="auto"/>
      </w:pPr>
      <w:r>
        <w:separator/>
      </w:r>
    </w:p>
  </w:footnote>
  <w:footnote w:type="continuationSeparator" w:id="0">
    <w:p w14:paraId="3B2A8571" w14:textId="77777777" w:rsidR="00DE4B91" w:rsidRDefault="00DE4B91"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DC73" w14:textId="77777777" w:rsidR="006E1187" w:rsidRDefault="006E1187">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7E4A65"/>
    <w:multiLevelType w:val="hybridMultilevel"/>
    <w:tmpl w:val="666A8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115A52"/>
    <w:multiLevelType w:val="hybridMultilevel"/>
    <w:tmpl w:val="D56AB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860322"/>
    <w:multiLevelType w:val="hybridMultilevel"/>
    <w:tmpl w:val="E292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F01F19"/>
    <w:multiLevelType w:val="hybridMultilevel"/>
    <w:tmpl w:val="D5548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C117BC"/>
    <w:multiLevelType w:val="hybridMultilevel"/>
    <w:tmpl w:val="E86E6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4D66F4"/>
    <w:multiLevelType w:val="hybridMultilevel"/>
    <w:tmpl w:val="48868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52A8"/>
    <w:rsid w:val="00031253"/>
    <w:rsid w:val="000577D6"/>
    <w:rsid w:val="000830D7"/>
    <w:rsid w:val="000D7C07"/>
    <w:rsid w:val="00112A85"/>
    <w:rsid w:val="00170B87"/>
    <w:rsid w:val="001B4ADA"/>
    <w:rsid w:val="001B64B0"/>
    <w:rsid w:val="0024297F"/>
    <w:rsid w:val="00260DE9"/>
    <w:rsid w:val="00294474"/>
    <w:rsid w:val="002A4A73"/>
    <w:rsid w:val="002A6286"/>
    <w:rsid w:val="002E1F38"/>
    <w:rsid w:val="00306D88"/>
    <w:rsid w:val="00320EFB"/>
    <w:rsid w:val="0036557A"/>
    <w:rsid w:val="003B417B"/>
    <w:rsid w:val="003D6958"/>
    <w:rsid w:val="003E2E9B"/>
    <w:rsid w:val="003F0423"/>
    <w:rsid w:val="003F0FE1"/>
    <w:rsid w:val="00412473"/>
    <w:rsid w:val="00422A36"/>
    <w:rsid w:val="0044685F"/>
    <w:rsid w:val="0045212B"/>
    <w:rsid w:val="00494CA5"/>
    <w:rsid w:val="004C72E1"/>
    <w:rsid w:val="004D5293"/>
    <w:rsid w:val="00520014"/>
    <w:rsid w:val="00571D6A"/>
    <w:rsid w:val="00596832"/>
    <w:rsid w:val="00635FF3"/>
    <w:rsid w:val="00637CB9"/>
    <w:rsid w:val="00657B52"/>
    <w:rsid w:val="006E1187"/>
    <w:rsid w:val="006E6275"/>
    <w:rsid w:val="00720874"/>
    <w:rsid w:val="007257B5"/>
    <w:rsid w:val="00741B21"/>
    <w:rsid w:val="007862CF"/>
    <w:rsid w:val="00793BD0"/>
    <w:rsid w:val="007B1A70"/>
    <w:rsid w:val="007B6E29"/>
    <w:rsid w:val="007D3185"/>
    <w:rsid w:val="007E7F46"/>
    <w:rsid w:val="00875007"/>
    <w:rsid w:val="0088505B"/>
    <w:rsid w:val="0089324F"/>
    <w:rsid w:val="008E46FD"/>
    <w:rsid w:val="008F34D5"/>
    <w:rsid w:val="00905C76"/>
    <w:rsid w:val="00916D61"/>
    <w:rsid w:val="00931A86"/>
    <w:rsid w:val="009419F0"/>
    <w:rsid w:val="009705BE"/>
    <w:rsid w:val="0097480E"/>
    <w:rsid w:val="009A3EBE"/>
    <w:rsid w:val="009A6479"/>
    <w:rsid w:val="00A00453"/>
    <w:rsid w:val="00A031C1"/>
    <w:rsid w:val="00A12BB9"/>
    <w:rsid w:val="00A55AAE"/>
    <w:rsid w:val="00A71026"/>
    <w:rsid w:val="00AE1F72"/>
    <w:rsid w:val="00AE71B7"/>
    <w:rsid w:val="00B33B46"/>
    <w:rsid w:val="00BC0DB8"/>
    <w:rsid w:val="00BE4BEC"/>
    <w:rsid w:val="00BE6652"/>
    <w:rsid w:val="00BF45CB"/>
    <w:rsid w:val="00C147E3"/>
    <w:rsid w:val="00C54007"/>
    <w:rsid w:val="00C9105A"/>
    <w:rsid w:val="00C961CA"/>
    <w:rsid w:val="00CE3B31"/>
    <w:rsid w:val="00D17DB0"/>
    <w:rsid w:val="00D26223"/>
    <w:rsid w:val="00DC4F7C"/>
    <w:rsid w:val="00DC705B"/>
    <w:rsid w:val="00DE0FDD"/>
    <w:rsid w:val="00DE4B91"/>
    <w:rsid w:val="00E22E5D"/>
    <w:rsid w:val="00E31C88"/>
    <w:rsid w:val="00E3798E"/>
    <w:rsid w:val="00E45F8D"/>
    <w:rsid w:val="00ED42A4"/>
    <w:rsid w:val="00EF6801"/>
    <w:rsid w:val="00EF6AB9"/>
    <w:rsid w:val="00F2704A"/>
    <w:rsid w:val="00F70E29"/>
    <w:rsid w:val="00F94CE8"/>
    <w:rsid w:val="00FA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 w:type="paragraph" w:styleId="ListParagraph">
    <w:name w:val="List Paragraph"/>
    <w:basedOn w:val="Normal"/>
    <w:uiPriority w:val="34"/>
    <w:qFormat/>
    <w:rsid w:val="00905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A4E5E-47A9-BF4A-8FF9-BB5D6561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2019-06-15T15:48:00Z</dcterms:created>
  <dcterms:modified xsi:type="dcterms:W3CDTF">2019-06-15T15:48:00Z</dcterms:modified>
</cp:coreProperties>
</file>