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9F06" w14:textId="12A92C61" w:rsidR="00F94CE8" w:rsidRPr="00BB0086" w:rsidRDefault="00CB7B61" w:rsidP="00F94CE8">
      <w:pPr>
        <w:pStyle w:val="NoSpacing"/>
        <w:rPr>
          <w:sz w:val="20"/>
          <w:szCs w:val="20"/>
        </w:rPr>
      </w:pPr>
      <w:r w:rsidRPr="00BB0086">
        <w:rPr>
          <w:b/>
          <w:color w:val="FF0000"/>
          <w:sz w:val="20"/>
          <w:szCs w:val="20"/>
        </w:rPr>
        <w:t>Moving &amp; Storage Industry 2019</w:t>
      </w:r>
    </w:p>
    <w:p w14:paraId="79457408" w14:textId="77777777" w:rsidR="00260DE9" w:rsidRPr="00BB0086" w:rsidRDefault="00260DE9" w:rsidP="00F43643">
      <w:pPr>
        <w:pStyle w:val="NoSpacing"/>
        <w:contextualSpacing/>
        <w:mirrorIndents/>
        <w:rPr>
          <w:sz w:val="20"/>
          <w:szCs w:val="20"/>
        </w:rPr>
      </w:pPr>
    </w:p>
    <w:p w14:paraId="33A4E87B" w14:textId="77777777" w:rsidR="00F43643" w:rsidRPr="00BB0086" w:rsidRDefault="00F43643" w:rsidP="00F43643">
      <w:pPr>
        <w:spacing w:after="0" w:line="240" w:lineRule="auto"/>
        <w:contextualSpacing/>
        <w:mirrorIndents/>
        <w:jc w:val="center"/>
        <w:rPr>
          <w:b/>
          <w:color w:val="0070C0"/>
          <w:sz w:val="20"/>
          <w:szCs w:val="20"/>
        </w:rPr>
      </w:pPr>
      <w:r w:rsidRPr="00BB0086">
        <w:rPr>
          <w:b/>
          <w:color w:val="0070C0"/>
          <w:sz w:val="20"/>
          <w:szCs w:val="20"/>
        </w:rPr>
        <w:t>Less Mobility in a Good Economy</w:t>
      </w:r>
    </w:p>
    <w:p w14:paraId="5877917F" w14:textId="77777777" w:rsidR="00F43643" w:rsidRPr="00BB0086" w:rsidRDefault="00F43643" w:rsidP="00F43643">
      <w:pPr>
        <w:spacing w:after="0" w:line="240" w:lineRule="auto"/>
        <w:contextualSpacing/>
        <w:mirrorIndents/>
        <w:rPr>
          <w:sz w:val="20"/>
          <w:szCs w:val="20"/>
        </w:rPr>
      </w:pPr>
    </w:p>
    <w:p w14:paraId="2D1182A1" w14:textId="5C604B75" w:rsidR="00F43643" w:rsidRPr="00BB0086" w:rsidRDefault="00F43643" w:rsidP="00F43643">
      <w:pPr>
        <w:pStyle w:val="ListParagraph"/>
        <w:numPr>
          <w:ilvl w:val="0"/>
          <w:numId w:val="1"/>
        </w:numPr>
        <w:spacing w:after="0" w:line="240" w:lineRule="auto"/>
        <w:mirrorIndents/>
        <w:rPr>
          <w:sz w:val="20"/>
          <w:szCs w:val="20"/>
        </w:rPr>
      </w:pPr>
      <w:r w:rsidRPr="00BB0086">
        <w:rPr>
          <w:sz w:val="20"/>
          <w:szCs w:val="20"/>
        </w:rPr>
        <w:t>The mobility rate of all Americans age 1 or older decreased again from 2017 to 2018, or 10.1%, to a total of 32.35 million, compared to 11.0% from 2016 to 2017, or a total of 34.9 million.</w:t>
      </w:r>
    </w:p>
    <w:p w14:paraId="4012E692" w14:textId="1B3EB4C8" w:rsidR="00F43643" w:rsidRPr="00BB0086" w:rsidRDefault="00F43643" w:rsidP="00F43643">
      <w:pPr>
        <w:spacing w:after="0" w:line="240" w:lineRule="auto"/>
        <w:contextualSpacing/>
        <w:mirrorIndents/>
        <w:rPr>
          <w:sz w:val="20"/>
          <w:szCs w:val="20"/>
        </w:rPr>
      </w:pPr>
    </w:p>
    <w:p w14:paraId="4FAA2F9A" w14:textId="20E7BEC5" w:rsidR="00F43643" w:rsidRPr="00BB0086" w:rsidRDefault="00F43643" w:rsidP="00F43643">
      <w:pPr>
        <w:pStyle w:val="ListParagraph"/>
        <w:numPr>
          <w:ilvl w:val="0"/>
          <w:numId w:val="1"/>
        </w:numPr>
        <w:spacing w:after="0" w:line="240" w:lineRule="auto"/>
        <w:mirrorIndents/>
        <w:rPr>
          <w:sz w:val="20"/>
          <w:szCs w:val="20"/>
        </w:rPr>
      </w:pPr>
      <w:r w:rsidRPr="00BB0086">
        <w:rPr>
          <w:sz w:val="20"/>
          <w:szCs w:val="20"/>
        </w:rPr>
        <w:t>This begs the question: Are fewer Americans moving because the economy is good to very good in most areas of the country, which means jobs are more secure, or because too many Americans are struggling financially and can’t afford to move?</w:t>
      </w:r>
    </w:p>
    <w:p w14:paraId="7A7CF7E0" w14:textId="758E3CF1" w:rsidR="00F43643" w:rsidRPr="00BB0086" w:rsidRDefault="00F43643" w:rsidP="00F43643">
      <w:pPr>
        <w:spacing w:after="0" w:line="240" w:lineRule="auto"/>
        <w:contextualSpacing/>
        <w:mirrorIndents/>
        <w:rPr>
          <w:sz w:val="20"/>
          <w:szCs w:val="20"/>
        </w:rPr>
      </w:pPr>
    </w:p>
    <w:p w14:paraId="6CC4DE49" w14:textId="33F699C6" w:rsidR="00F43643" w:rsidRPr="00BB0086" w:rsidRDefault="00F43643" w:rsidP="00F43643">
      <w:pPr>
        <w:pStyle w:val="ListParagraph"/>
        <w:numPr>
          <w:ilvl w:val="0"/>
          <w:numId w:val="1"/>
        </w:numPr>
        <w:spacing w:after="0" w:line="240" w:lineRule="auto"/>
        <w:mirrorIndents/>
        <w:rPr>
          <w:sz w:val="20"/>
          <w:szCs w:val="20"/>
        </w:rPr>
      </w:pPr>
      <w:r w:rsidRPr="00BB0086">
        <w:rPr>
          <w:sz w:val="20"/>
          <w:szCs w:val="20"/>
        </w:rPr>
        <w:t>Unsurprisingly, the largest number of movers were 20 to 34 years of age, or 20</w:t>
      </w:r>
      <w:r w:rsidRPr="00BB0086">
        <w:rPr>
          <w:rFonts w:ascii="Verdana" w:hAnsi="Verdana"/>
          <w:sz w:val="20"/>
          <w:szCs w:val="20"/>
        </w:rPr>
        <w:t>–</w:t>
      </w:r>
      <w:r w:rsidRPr="00BB0086">
        <w:rPr>
          <w:sz w:val="20"/>
          <w:szCs w:val="20"/>
        </w:rPr>
        <w:t>24, 4.36 million; 25</w:t>
      </w:r>
      <w:r w:rsidRPr="00BB0086">
        <w:rPr>
          <w:rFonts w:ascii="Verdana" w:hAnsi="Verdana"/>
          <w:sz w:val="20"/>
          <w:szCs w:val="20"/>
        </w:rPr>
        <w:t>–</w:t>
      </w:r>
      <w:r w:rsidRPr="00BB0086">
        <w:rPr>
          <w:sz w:val="20"/>
          <w:szCs w:val="20"/>
        </w:rPr>
        <w:t>29, 4.67 million; and 30</w:t>
      </w:r>
      <w:r w:rsidRPr="00BB0086">
        <w:rPr>
          <w:rFonts w:ascii="Verdana" w:hAnsi="Verdana"/>
          <w:sz w:val="20"/>
          <w:szCs w:val="20"/>
        </w:rPr>
        <w:t>–</w:t>
      </w:r>
      <w:r w:rsidRPr="00BB0086">
        <w:rPr>
          <w:sz w:val="20"/>
          <w:szCs w:val="20"/>
        </w:rPr>
        <w:t xml:space="preserve">34, 3.13 million, as many of the youngest </w:t>
      </w:r>
      <w:r w:rsidR="00E94E62">
        <w:rPr>
          <w:sz w:val="20"/>
          <w:szCs w:val="20"/>
        </w:rPr>
        <w:t xml:space="preserve">adults </w:t>
      </w:r>
      <w:r w:rsidRPr="00BB0086">
        <w:rPr>
          <w:sz w:val="20"/>
          <w:szCs w:val="20"/>
        </w:rPr>
        <w:t>move for college and older Millennials seek the best job opportunities.</w:t>
      </w:r>
    </w:p>
    <w:p w14:paraId="1C0850FA" w14:textId="77777777" w:rsidR="00F43643" w:rsidRPr="00BB0086" w:rsidRDefault="00F43643" w:rsidP="00F43643">
      <w:pPr>
        <w:spacing w:after="0" w:line="240" w:lineRule="auto"/>
        <w:contextualSpacing/>
        <w:mirrorIndents/>
        <w:rPr>
          <w:sz w:val="20"/>
          <w:szCs w:val="20"/>
        </w:rPr>
      </w:pPr>
    </w:p>
    <w:p w14:paraId="5664A94B" w14:textId="2C3A505F" w:rsidR="00F43643" w:rsidRPr="00BB0086" w:rsidRDefault="00F43643" w:rsidP="00F43643">
      <w:pPr>
        <w:pStyle w:val="Header"/>
        <w:jc w:val="center"/>
        <w:rPr>
          <w:rFonts w:ascii="Verdana" w:hAnsi="Verdana"/>
          <w:b/>
          <w:sz w:val="20"/>
          <w:szCs w:val="20"/>
        </w:rPr>
      </w:pPr>
      <w:r w:rsidRPr="00BB0086">
        <w:rPr>
          <w:rFonts w:ascii="Verdana" w:hAnsi="Verdana"/>
          <w:b/>
          <w:sz w:val="20"/>
          <w:szCs w:val="20"/>
        </w:rPr>
        <w:t>US Mobility, by Selected Demographics and Regions, 2017 to 2018</w:t>
      </w:r>
    </w:p>
    <w:tbl>
      <w:tblPr>
        <w:tblW w:w="847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169"/>
        <w:gridCol w:w="1327"/>
        <w:gridCol w:w="1328"/>
        <w:gridCol w:w="1327"/>
        <w:gridCol w:w="1328"/>
      </w:tblGrid>
      <w:tr w:rsidR="00F43643" w:rsidRPr="00BB0086" w14:paraId="2107556C" w14:textId="77777777" w:rsidTr="00C91201">
        <w:trPr>
          <w:jc w:val="center"/>
        </w:trPr>
        <w:tc>
          <w:tcPr>
            <w:tcW w:w="3169" w:type="dxa"/>
            <w:tcBorders>
              <w:top w:val="single" w:sz="12" w:space="0" w:color="000000"/>
              <w:left w:val="single" w:sz="12" w:space="0" w:color="000000"/>
              <w:bottom w:val="single" w:sz="18" w:space="0" w:color="000000"/>
              <w:right w:val="single" w:sz="18" w:space="0" w:color="000000"/>
            </w:tcBorders>
            <w:vAlign w:val="center"/>
          </w:tcPr>
          <w:p w14:paraId="6EBF9509" w14:textId="036A4DE4" w:rsidR="00F43643" w:rsidRPr="00BB0086" w:rsidRDefault="00F43643"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Demographics</w:t>
            </w:r>
          </w:p>
        </w:tc>
        <w:tc>
          <w:tcPr>
            <w:tcW w:w="1327" w:type="dxa"/>
            <w:tcBorders>
              <w:top w:val="single" w:sz="12" w:space="0" w:color="000000"/>
              <w:left w:val="single" w:sz="18" w:space="0" w:color="000000"/>
              <w:bottom w:val="single" w:sz="18" w:space="0" w:color="000000"/>
              <w:right w:val="single" w:sz="8" w:space="0" w:color="000000"/>
            </w:tcBorders>
            <w:vAlign w:val="center"/>
          </w:tcPr>
          <w:p w14:paraId="46C55E99" w14:textId="1BE50E69" w:rsidR="00F43643" w:rsidRPr="00BB0086" w:rsidRDefault="00F43643"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Northeast</w:t>
            </w:r>
          </w:p>
        </w:tc>
        <w:tc>
          <w:tcPr>
            <w:tcW w:w="1328" w:type="dxa"/>
            <w:tcBorders>
              <w:top w:val="single" w:sz="12" w:space="0" w:color="000000"/>
              <w:left w:val="single" w:sz="8" w:space="0" w:color="000000"/>
              <w:bottom w:val="single" w:sz="18" w:space="0" w:color="000000"/>
              <w:right w:val="single" w:sz="8" w:space="0" w:color="000000"/>
            </w:tcBorders>
            <w:vAlign w:val="center"/>
          </w:tcPr>
          <w:p w14:paraId="1CCAF5D1" w14:textId="3606FC12" w:rsidR="00F43643" w:rsidRPr="00BB0086" w:rsidRDefault="00F43643"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Midwest</w:t>
            </w:r>
          </w:p>
        </w:tc>
        <w:tc>
          <w:tcPr>
            <w:tcW w:w="1327" w:type="dxa"/>
            <w:tcBorders>
              <w:top w:val="single" w:sz="12" w:space="0" w:color="000000"/>
              <w:left w:val="single" w:sz="8" w:space="0" w:color="000000"/>
              <w:bottom w:val="single" w:sz="18" w:space="0" w:color="000000"/>
              <w:right w:val="single" w:sz="8" w:space="0" w:color="000000"/>
            </w:tcBorders>
            <w:vAlign w:val="center"/>
          </w:tcPr>
          <w:p w14:paraId="31450B6C" w14:textId="39E50F48" w:rsidR="00F43643" w:rsidRPr="00BB0086" w:rsidRDefault="00F43643"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South</w:t>
            </w:r>
          </w:p>
        </w:tc>
        <w:tc>
          <w:tcPr>
            <w:tcW w:w="1328" w:type="dxa"/>
            <w:tcBorders>
              <w:top w:val="single" w:sz="12" w:space="0" w:color="000000"/>
              <w:left w:val="single" w:sz="8" w:space="0" w:color="000000"/>
              <w:bottom w:val="single" w:sz="18" w:space="0" w:color="000000"/>
              <w:right w:val="single" w:sz="12" w:space="0" w:color="000000"/>
            </w:tcBorders>
            <w:vAlign w:val="center"/>
          </w:tcPr>
          <w:p w14:paraId="40D4066D" w14:textId="64D5B054" w:rsidR="00F43643" w:rsidRPr="00BB0086" w:rsidRDefault="00F43643"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West</w:t>
            </w:r>
          </w:p>
        </w:tc>
      </w:tr>
      <w:tr w:rsidR="00F43643" w:rsidRPr="00BB0086" w14:paraId="3AF9D7A8" w14:textId="77777777" w:rsidTr="00C91201">
        <w:tblPrEx>
          <w:tblBorders>
            <w:top w:val="none" w:sz="0" w:space="0" w:color="auto"/>
          </w:tblBorders>
        </w:tblPrEx>
        <w:trPr>
          <w:jc w:val="center"/>
        </w:trPr>
        <w:tc>
          <w:tcPr>
            <w:tcW w:w="3169" w:type="dxa"/>
            <w:tcBorders>
              <w:top w:val="single" w:sz="18" w:space="0" w:color="000000"/>
              <w:left w:val="single" w:sz="12" w:space="0" w:color="000000"/>
              <w:bottom w:val="single" w:sz="4" w:space="0" w:color="000000"/>
              <w:right w:val="single" w:sz="18" w:space="0" w:color="000000"/>
            </w:tcBorders>
            <w:vAlign w:val="center"/>
          </w:tcPr>
          <w:p w14:paraId="3164D133" w14:textId="1A274BA5" w:rsidR="00F43643" w:rsidRPr="00BB0086" w:rsidRDefault="00C91201"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Age, 18</w:t>
            </w:r>
            <w:r w:rsidRPr="00BB0086">
              <w:rPr>
                <w:rFonts w:ascii="Verdana" w:hAnsi="Verdana"/>
                <w:sz w:val="20"/>
                <w:szCs w:val="20"/>
              </w:rPr>
              <w:t>–39</w:t>
            </w:r>
          </w:p>
        </w:tc>
        <w:tc>
          <w:tcPr>
            <w:tcW w:w="1327" w:type="dxa"/>
            <w:tcBorders>
              <w:top w:val="single" w:sz="18" w:space="0" w:color="000000"/>
              <w:left w:val="single" w:sz="18" w:space="0" w:color="000000"/>
              <w:bottom w:val="single" w:sz="4" w:space="0" w:color="000000"/>
              <w:right w:val="single" w:sz="8" w:space="0" w:color="000000"/>
            </w:tcBorders>
            <w:vAlign w:val="center"/>
          </w:tcPr>
          <w:p w14:paraId="03BA5784" w14:textId="619B7FE0"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2.08 M</w:t>
            </w:r>
          </w:p>
        </w:tc>
        <w:tc>
          <w:tcPr>
            <w:tcW w:w="1328" w:type="dxa"/>
            <w:tcBorders>
              <w:top w:val="single" w:sz="18" w:space="0" w:color="000000"/>
              <w:left w:val="single" w:sz="8" w:space="0" w:color="000000"/>
              <w:bottom w:val="single" w:sz="4" w:space="0" w:color="000000"/>
              <w:right w:val="single" w:sz="8" w:space="0" w:color="000000"/>
            </w:tcBorders>
            <w:vAlign w:val="center"/>
          </w:tcPr>
          <w:p w14:paraId="1EBC0918" w14:textId="3595FB73"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3.40 M</w:t>
            </w:r>
          </w:p>
        </w:tc>
        <w:tc>
          <w:tcPr>
            <w:tcW w:w="1327" w:type="dxa"/>
            <w:tcBorders>
              <w:top w:val="single" w:sz="18" w:space="0" w:color="000000"/>
              <w:left w:val="single" w:sz="8" w:space="0" w:color="000000"/>
              <w:bottom w:val="single" w:sz="4" w:space="0" w:color="000000"/>
              <w:right w:val="single" w:sz="8" w:space="0" w:color="000000"/>
            </w:tcBorders>
            <w:vAlign w:val="center"/>
          </w:tcPr>
          <w:p w14:paraId="2EB5A2A7" w14:textId="24F5CA7F"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6.10 M</w:t>
            </w:r>
          </w:p>
        </w:tc>
        <w:tc>
          <w:tcPr>
            <w:tcW w:w="1328" w:type="dxa"/>
            <w:tcBorders>
              <w:top w:val="single" w:sz="18" w:space="0" w:color="000000"/>
              <w:left w:val="single" w:sz="8" w:space="0" w:color="000000"/>
              <w:bottom w:val="single" w:sz="4" w:space="0" w:color="000000"/>
              <w:right w:val="single" w:sz="12" w:space="0" w:color="000000"/>
            </w:tcBorders>
            <w:vAlign w:val="center"/>
          </w:tcPr>
          <w:p w14:paraId="092DBEB5" w14:textId="5543EF11" w:rsidR="00F43643" w:rsidRPr="00BB0086" w:rsidRDefault="00E4141C"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3.98 M</w:t>
            </w:r>
          </w:p>
        </w:tc>
      </w:tr>
      <w:tr w:rsidR="00F43643" w:rsidRPr="00BB0086" w14:paraId="35AC6BC4" w14:textId="77777777" w:rsidTr="00C91201">
        <w:tblPrEx>
          <w:tblBorders>
            <w:top w:val="none" w:sz="0" w:space="0" w:color="auto"/>
          </w:tblBorders>
        </w:tblPrEx>
        <w:trPr>
          <w:jc w:val="center"/>
        </w:trPr>
        <w:tc>
          <w:tcPr>
            <w:tcW w:w="3169" w:type="dxa"/>
            <w:tcBorders>
              <w:top w:val="single" w:sz="4" w:space="0" w:color="000000"/>
              <w:left w:val="single" w:sz="12" w:space="0" w:color="000000"/>
              <w:bottom w:val="single" w:sz="4" w:space="0" w:color="000000"/>
              <w:right w:val="single" w:sz="18" w:space="0" w:color="000000"/>
            </w:tcBorders>
            <w:vAlign w:val="center"/>
          </w:tcPr>
          <w:p w14:paraId="1DD320D3" w14:textId="2D3FE5A3" w:rsidR="00F43643" w:rsidRPr="00BB0086" w:rsidRDefault="00C91201"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Age, 40</w:t>
            </w:r>
            <w:r w:rsidRPr="00BB0086">
              <w:rPr>
                <w:rFonts w:ascii="Verdana" w:hAnsi="Verdana"/>
                <w:sz w:val="20"/>
                <w:szCs w:val="20"/>
              </w:rPr>
              <w:t>–59</w:t>
            </w:r>
          </w:p>
        </w:tc>
        <w:tc>
          <w:tcPr>
            <w:tcW w:w="1327" w:type="dxa"/>
            <w:tcBorders>
              <w:top w:val="single" w:sz="4" w:space="0" w:color="000000"/>
              <w:left w:val="single" w:sz="18" w:space="0" w:color="000000"/>
              <w:bottom w:val="single" w:sz="4" w:space="0" w:color="000000"/>
              <w:right w:val="single" w:sz="8" w:space="0" w:color="000000"/>
            </w:tcBorders>
            <w:vAlign w:val="center"/>
          </w:tcPr>
          <w:p w14:paraId="479EFB7E" w14:textId="4C3345F0"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827,000</w:t>
            </w:r>
          </w:p>
        </w:tc>
        <w:tc>
          <w:tcPr>
            <w:tcW w:w="1328" w:type="dxa"/>
            <w:tcBorders>
              <w:top w:val="single" w:sz="4" w:space="0" w:color="000000"/>
              <w:left w:val="single" w:sz="8" w:space="0" w:color="000000"/>
              <w:bottom w:val="single" w:sz="4" w:space="0" w:color="000000"/>
              <w:right w:val="single" w:sz="8" w:space="0" w:color="000000"/>
            </w:tcBorders>
            <w:vAlign w:val="center"/>
          </w:tcPr>
          <w:p w14:paraId="3922FD7F" w14:textId="32321A48"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1.19 M</w:t>
            </w:r>
          </w:p>
        </w:tc>
        <w:tc>
          <w:tcPr>
            <w:tcW w:w="1327" w:type="dxa"/>
            <w:tcBorders>
              <w:top w:val="single" w:sz="4" w:space="0" w:color="000000"/>
              <w:left w:val="single" w:sz="8" w:space="0" w:color="000000"/>
              <w:bottom w:val="single" w:sz="4" w:space="0" w:color="000000"/>
              <w:right w:val="single" w:sz="8" w:space="0" w:color="000000"/>
            </w:tcBorders>
            <w:vAlign w:val="center"/>
          </w:tcPr>
          <w:p w14:paraId="0E63BA1F" w14:textId="5DF1D04B"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2.56 M</w:t>
            </w:r>
          </w:p>
        </w:tc>
        <w:tc>
          <w:tcPr>
            <w:tcW w:w="132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22E7E798" w14:textId="641F55B2" w:rsidR="00F43643" w:rsidRPr="00BB0086" w:rsidRDefault="00E4141C"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1.53 M</w:t>
            </w:r>
          </w:p>
        </w:tc>
      </w:tr>
      <w:tr w:rsidR="00F43643" w:rsidRPr="00BB0086" w14:paraId="7AD7D607" w14:textId="77777777" w:rsidTr="00C91201">
        <w:tblPrEx>
          <w:tblBorders>
            <w:top w:val="none" w:sz="0" w:space="0" w:color="auto"/>
          </w:tblBorders>
        </w:tblPrEx>
        <w:trPr>
          <w:jc w:val="center"/>
        </w:trPr>
        <w:tc>
          <w:tcPr>
            <w:tcW w:w="3169" w:type="dxa"/>
            <w:tcBorders>
              <w:top w:val="single" w:sz="4" w:space="0" w:color="000000"/>
              <w:left w:val="single" w:sz="12" w:space="0" w:color="000000"/>
              <w:bottom w:val="single" w:sz="4" w:space="0" w:color="000000"/>
              <w:right w:val="single" w:sz="18" w:space="0" w:color="000000"/>
            </w:tcBorders>
            <w:vAlign w:val="center"/>
          </w:tcPr>
          <w:p w14:paraId="140E0188" w14:textId="1FB1012B" w:rsidR="00F43643" w:rsidRPr="00BB0086" w:rsidRDefault="00C91201"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Age, 60+</w:t>
            </w:r>
          </w:p>
        </w:tc>
        <w:tc>
          <w:tcPr>
            <w:tcW w:w="1327" w:type="dxa"/>
            <w:tcBorders>
              <w:top w:val="single" w:sz="4" w:space="0" w:color="000000"/>
              <w:left w:val="single" w:sz="18" w:space="0" w:color="000000"/>
              <w:bottom w:val="single" w:sz="4" w:space="0" w:color="000000"/>
              <w:right w:val="single" w:sz="8" w:space="0" w:color="000000"/>
            </w:tcBorders>
            <w:vAlign w:val="center"/>
          </w:tcPr>
          <w:p w14:paraId="785D7FAA" w14:textId="41B212CF"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397,000</w:t>
            </w:r>
          </w:p>
        </w:tc>
        <w:tc>
          <w:tcPr>
            <w:tcW w:w="1328" w:type="dxa"/>
            <w:tcBorders>
              <w:top w:val="single" w:sz="4" w:space="0" w:color="000000"/>
              <w:left w:val="single" w:sz="8" w:space="0" w:color="000000"/>
              <w:bottom w:val="single" w:sz="4" w:space="0" w:color="000000"/>
              <w:right w:val="single" w:sz="8" w:space="0" w:color="000000"/>
            </w:tcBorders>
            <w:vAlign w:val="center"/>
          </w:tcPr>
          <w:p w14:paraId="35F7A4FA" w14:textId="4C352BE5"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501,000</w:t>
            </w:r>
          </w:p>
        </w:tc>
        <w:tc>
          <w:tcPr>
            <w:tcW w:w="1327" w:type="dxa"/>
            <w:tcBorders>
              <w:top w:val="single" w:sz="4" w:space="0" w:color="000000"/>
              <w:left w:val="single" w:sz="8" w:space="0" w:color="000000"/>
              <w:bottom w:val="single" w:sz="4" w:space="0" w:color="000000"/>
              <w:right w:val="single" w:sz="8" w:space="0" w:color="000000"/>
            </w:tcBorders>
            <w:vAlign w:val="center"/>
          </w:tcPr>
          <w:p w14:paraId="7880ED59" w14:textId="564E3C75"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1.09 M</w:t>
            </w:r>
          </w:p>
        </w:tc>
        <w:tc>
          <w:tcPr>
            <w:tcW w:w="132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51E6A12" w14:textId="0A3D2FC7" w:rsidR="00F43643" w:rsidRPr="00BB0086" w:rsidRDefault="00E4141C"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835,000</w:t>
            </w:r>
          </w:p>
        </w:tc>
      </w:tr>
      <w:tr w:rsidR="00F43643" w:rsidRPr="00BB0086" w14:paraId="099ACD09" w14:textId="77777777" w:rsidTr="00C91201">
        <w:tblPrEx>
          <w:tblBorders>
            <w:top w:val="none" w:sz="0" w:space="0" w:color="auto"/>
          </w:tblBorders>
        </w:tblPrEx>
        <w:trPr>
          <w:jc w:val="center"/>
        </w:trPr>
        <w:tc>
          <w:tcPr>
            <w:tcW w:w="3169" w:type="dxa"/>
            <w:tcBorders>
              <w:top w:val="single" w:sz="4" w:space="0" w:color="000000"/>
              <w:left w:val="single" w:sz="12" w:space="0" w:color="000000"/>
              <w:bottom w:val="single" w:sz="4" w:space="0" w:color="000000"/>
              <w:right w:val="single" w:sz="18" w:space="0" w:color="000000"/>
            </w:tcBorders>
            <w:vAlign w:val="center"/>
          </w:tcPr>
          <w:p w14:paraId="32AF04DD" w14:textId="2897FFF1" w:rsidR="00F43643" w:rsidRPr="00BB0086" w:rsidRDefault="00C91201"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Married, spouse present</w:t>
            </w:r>
          </w:p>
        </w:tc>
        <w:tc>
          <w:tcPr>
            <w:tcW w:w="1327" w:type="dxa"/>
            <w:tcBorders>
              <w:top w:val="single" w:sz="4" w:space="0" w:color="000000"/>
              <w:left w:val="single" w:sz="18" w:space="0" w:color="000000"/>
              <w:bottom w:val="single" w:sz="4" w:space="0" w:color="000000"/>
              <w:right w:val="single" w:sz="8" w:space="0" w:color="000000"/>
            </w:tcBorders>
            <w:vAlign w:val="center"/>
          </w:tcPr>
          <w:p w14:paraId="7F5A50C6" w14:textId="1101C75A"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1.16 M</w:t>
            </w:r>
          </w:p>
        </w:tc>
        <w:tc>
          <w:tcPr>
            <w:tcW w:w="1328" w:type="dxa"/>
            <w:tcBorders>
              <w:top w:val="single" w:sz="4" w:space="0" w:color="000000"/>
              <w:left w:val="single" w:sz="8" w:space="0" w:color="000000"/>
              <w:bottom w:val="single" w:sz="4" w:space="0" w:color="000000"/>
              <w:right w:val="single" w:sz="8" w:space="0" w:color="000000"/>
            </w:tcBorders>
            <w:vAlign w:val="center"/>
          </w:tcPr>
          <w:p w14:paraId="46D9A880" w14:textId="20976FDA"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1.86 M</w:t>
            </w:r>
          </w:p>
        </w:tc>
        <w:tc>
          <w:tcPr>
            <w:tcW w:w="1327" w:type="dxa"/>
            <w:tcBorders>
              <w:top w:val="single" w:sz="4" w:space="0" w:color="000000"/>
              <w:left w:val="single" w:sz="8" w:space="0" w:color="000000"/>
              <w:bottom w:val="single" w:sz="4" w:space="0" w:color="000000"/>
              <w:right w:val="single" w:sz="8" w:space="0" w:color="000000"/>
            </w:tcBorders>
            <w:vAlign w:val="center"/>
          </w:tcPr>
          <w:p w14:paraId="272217FC" w14:textId="775C39CC"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3.61 M</w:t>
            </w:r>
          </w:p>
        </w:tc>
        <w:tc>
          <w:tcPr>
            <w:tcW w:w="132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1FEDE16" w14:textId="4A160124" w:rsidR="00F43643" w:rsidRPr="00BB0086" w:rsidRDefault="00E4141C"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2.49 M</w:t>
            </w:r>
          </w:p>
        </w:tc>
      </w:tr>
      <w:tr w:rsidR="00F43643" w:rsidRPr="00BB0086" w14:paraId="34830285" w14:textId="77777777" w:rsidTr="00C91201">
        <w:tblPrEx>
          <w:tblBorders>
            <w:top w:val="none" w:sz="0" w:space="0" w:color="auto"/>
          </w:tblBorders>
        </w:tblPrEx>
        <w:trPr>
          <w:jc w:val="center"/>
        </w:trPr>
        <w:tc>
          <w:tcPr>
            <w:tcW w:w="3169"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2B879FC" w14:textId="4AF16539" w:rsidR="00F43643" w:rsidRPr="00BB0086" w:rsidRDefault="00C91201"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Never married</w:t>
            </w:r>
          </w:p>
        </w:tc>
        <w:tc>
          <w:tcPr>
            <w:tcW w:w="1327" w:type="dxa"/>
            <w:tcBorders>
              <w:top w:val="single" w:sz="4" w:space="0" w:color="000000"/>
              <w:left w:val="single" w:sz="18" w:space="0" w:color="000000"/>
              <w:bottom w:val="single" w:sz="4" w:space="0" w:color="000000"/>
              <w:right w:val="single" w:sz="8" w:space="0" w:color="000000"/>
            </w:tcBorders>
            <w:shd w:val="clear" w:color="auto" w:fill="auto"/>
            <w:vAlign w:val="center"/>
          </w:tcPr>
          <w:p w14:paraId="4A2C765D" w14:textId="1A672043"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1.72 M</w:t>
            </w:r>
          </w:p>
        </w:tc>
        <w:tc>
          <w:tcPr>
            <w:tcW w:w="1328" w:type="dxa"/>
            <w:tcBorders>
              <w:top w:val="single" w:sz="4" w:space="0" w:color="000000"/>
              <w:left w:val="single" w:sz="8" w:space="0" w:color="000000"/>
              <w:bottom w:val="single" w:sz="4" w:space="0" w:color="000000"/>
              <w:right w:val="single" w:sz="8" w:space="0" w:color="000000"/>
            </w:tcBorders>
            <w:vAlign w:val="center"/>
          </w:tcPr>
          <w:p w14:paraId="26C5A202" w14:textId="371B90DC"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2.53 M</w:t>
            </w:r>
          </w:p>
        </w:tc>
        <w:tc>
          <w:tcPr>
            <w:tcW w:w="1327" w:type="dxa"/>
            <w:tcBorders>
              <w:top w:val="single" w:sz="4" w:space="0" w:color="000000"/>
              <w:left w:val="single" w:sz="8" w:space="0" w:color="000000"/>
              <w:bottom w:val="single" w:sz="4" w:space="0" w:color="000000"/>
              <w:right w:val="single" w:sz="8" w:space="0" w:color="000000"/>
            </w:tcBorders>
            <w:vAlign w:val="center"/>
          </w:tcPr>
          <w:p w14:paraId="06E4E080" w14:textId="05AAE39B"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4.64 M</w:t>
            </w:r>
          </w:p>
        </w:tc>
        <w:tc>
          <w:tcPr>
            <w:tcW w:w="132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58543B4" w14:textId="3062EF57" w:rsidR="00F43643" w:rsidRPr="00BB0086" w:rsidRDefault="00E4141C"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2.95 M</w:t>
            </w:r>
          </w:p>
        </w:tc>
      </w:tr>
      <w:tr w:rsidR="00C91201" w:rsidRPr="00BB0086" w14:paraId="23065B71" w14:textId="77777777" w:rsidTr="00C91201">
        <w:tblPrEx>
          <w:tblBorders>
            <w:top w:val="none" w:sz="0" w:space="0" w:color="auto"/>
          </w:tblBorders>
        </w:tblPrEx>
        <w:trPr>
          <w:jc w:val="center"/>
        </w:trPr>
        <w:tc>
          <w:tcPr>
            <w:tcW w:w="3169"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48E21427" w14:textId="6ACC9A6F" w:rsidR="00C91201" w:rsidRPr="00BB0086" w:rsidRDefault="00C91201"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Owner-occupied housing unit</w:t>
            </w:r>
          </w:p>
        </w:tc>
        <w:tc>
          <w:tcPr>
            <w:tcW w:w="1327" w:type="dxa"/>
            <w:tcBorders>
              <w:top w:val="single" w:sz="4" w:space="0" w:color="000000"/>
              <w:left w:val="single" w:sz="18" w:space="0" w:color="000000"/>
              <w:bottom w:val="single" w:sz="4" w:space="0" w:color="000000"/>
              <w:right w:val="single" w:sz="8" w:space="0" w:color="000000"/>
            </w:tcBorders>
            <w:shd w:val="clear" w:color="auto" w:fill="auto"/>
            <w:vAlign w:val="center"/>
          </w:tcPr>
          <w:p w14:paraId="242C030C" w14:textId="67F2DF96" w:rsidR="00C91201"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1.45 M</w:t>
            </w:r>
          </w:p>
        </w:tc>
        <w:tc>
          <w:tcPr>
            <w:tcW w:w="1328" w:type="dxa"/>
            <w:tcBorders>
              <w:top w:val="single" w:sz="4" w:space="0" w:color="000000"/>
              <w:left w:val="single" w:sz="8" w:space="0" w:color="000000"/>
              <w:bottom w:val="single" w:sz="4" w:space="0" w:color="000000"/>
              <w:right w:val="single" w:sz="8" w:space="0" w:color="000000"/>
            </w:tcBorders>
            <w:vAlign w:val="center"/>
          </w:tcPr>
          <w:p w14:paraId="477DB388" w14:textId="1F4005AF" w:rsidR="00C91201"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2.72 M</w:t>
            </w:r>
          </w:p>
        </w:tc>
        <w:tc>
          <w:tcPr>
            <w:tcW w:w="1327" w:type="dxa"/>
            <w:tcBorders>
              <w:top w:val="single" w:sz="4" w:space="0" w:color="000000"/>
              <w:left w:val="single" w:sz="8" w:space="0" w:color="000000"/>
              <w:bottom w:val="single" w:sz="4" w:space="0" w:color="000000"/>
              <w:right w:val="single" w:sz="8" w:space="0" w:color="000000"/>
            </w:tcBorders>
            <w:vAlign w:val="center"/>
          </w:tcPr>
          <w:p w14:paraId="3C5D4FE2" w14:textId="7DA052BE" w:rsidR="00C91201"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4.17 M</w:t>
            </w:r>
          </w:p>
        </w:tc>
        <w:tc>
          <w:tcPr>
            <w:tcW w:w="132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2CE6505" w14:textId="53754CA4" w:rsidR="00C91201" w:rsidRPr="00BB0086" w:rsidRDefault="00E4141C"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2.59 M</w:t>
            </w:r>
          </w:p>
        </w:tc>
      </w:tr>
      <w:tr w:rsidR="00F43643" w:rsidRPr="00BB0086" w14:paraId="02A34626" w14:textId="77777777" w:rsidTr="00C91201">
        <w:tblPrEx>
          <w:tblBorders>
            <w:top w:val="none" w:sz="0" w:space="0" w:color="auto"/>
          </w:tblBorders>
        </w:tblPrEx>
        <w:trPr>
          <w:jc w:val="center"/>
        </w:trPr>
        <w:tc>
          <w:tcPr>
            <w:tcW w:w="3169" w:type="dxa"/>
            <w:tcBorders>
              <w:top w:val="single" w:sz="4" w:space="0" w:color="000000"/>
              <w:left w:val="single" w:sz="12" w:space="0" w:color="000000"/>
              <w:bottom w:val="single" w:sz="12" w:space="0" w:color="000000"/>
              <w:right w:val="single" w:sz="18" w:space="0" w:color="000000"/>
            </w:tcBorders>
            <w:shd w:val="clear" w:color="auto" w:fill="auto"/>
            <w:vAlign w:val="center"/>
          </w:tcPr>
          <w:p w14:paraId="21046FA6" w14:textId="4E46F5A5" w:rsidR="00F43643" w:rsidRPr="00BB0086" w:rsidRDefault="00C91201"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Renter-occupied housing unit</w:t>
            </w:r>
          </w:p>
        </w:tc>
        <w:tc>
          <w:tcPr>
            <w:tcW w:w="1327" w:type="dxa"/>
            <w:tcBorders>
              <w:top w:val="single" w:sz="4" w:space="0" w:color="000000"/>
              <w:left w:val="single" w:sz="18" w:space="0" w:color="000000"/>
              <w:bottom w:val="single" w:sz="12" w:space="0" w:color="auto"/>
              <w:right w:val="single" w:sz="8" w:space="0" w:color="000000"/>
            </w:tcBorders>
            <w:shd w:val="clear" w:color="auto" w:fill="auto"/>
            <w:vAlign w:val="center"/>
          </w:tcPr>
          <w:p w14:paraId="423C0A26" w14:textId="0C483BE7"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2.81 M</w:t>
            </w:r>
          </w:p>
        </w:tc>
        <w:tc>
          <w:tcPr>
            <w:tcW w:w="1328" w:type="dxa"/>
            <w:tcBorders>
              <w:top w:val="single" w:sz="4" w:space="0" w:color="000000"/>
              <w:left w:val="single" w:sz="8" w:space="0" w:color="000000"/>
              <w:bottom w:val="single" w:sz="12" w:space="0" w:color="auto"/>
              <w:right w:val="single" w:sz="8" w:space="0" w:color="000000"/>
            </w:tcBorders>
            <w:vAlign w:val="center"/>
          </w:tcPr>
          <w:p w14:paraId="145E1B4A" w14:textId="01D9DCAE"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4.20 M</w:t>
            </w:r>
          </w:p>
        </w:tc>
        <w:tc>
          <w:tcPr>
            <w:tcW w:w="1327" w:type="dxa"/>
            <w:tcBorders>
              <w:top w:val="single" w:sz="4" w:space="0" w:color="000000"/>
              <w:left w:val="single" w:sz="8" w:space="0" w:color="000000"/>
              <w:bottom w:val="single" w:sz="12" w:space="0" w:color="auto"/>
              <w:right w:val="single" w:sz="8" w:space="0" w:color="000000"/>
            </w:tcBorders>
            <w:vAlign w:val="center"/>
          </w:tcPr>
          <w:p w14:paraId="7949A44B" w14:textId="7FEEB29F" w:rsidR="00F43643" w:rsidRPr="00BB0086" w:rsidRDefault="00C91201"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8.84 M</w:t>
            </w:r>
          </w:p>
        </w:tc>
        <w:tc>
          <w:tcPr>
            <w:tcW w:w="1328" w:type="dxa"/>
            <w:tcBorders>
              <w:top w:val="single" w:sz="4" w:space="0" w:color="000000"/>
              <w:left w:val="single" w:sz="8" w:space="0" w:color="000000"/>
              <w:bottom w:val="single" w:sz="12" w:space="0" w:color="auto"/>
              <w:right w:val="single" w:sz="12" w:space="0" w:color="000000"/>
            </w:tcBorders>
            <w:vAlign w:val="center"/>
          </w:tcPr>
          <w:p w14:paraId="1930DD37" w14:textId="2CE7DE07" w:rsidR="00F43643" w:rsidRPr="00BB0086" w:rsidRDefault="00E4141C" w:rsidP="00495212">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5.58 M</w:t>
            </w:r>
          </w:p>
        </w:tc>
      </w:tr>
    </w:tbl>
    <w:p w14:paraId="4CC6D800" w14:textId="046FA22A" w:rsidR="00F43643" w:rsidRPr="00BB0086" w:rsidRDefault="00F43643" w:rsidP="00E4141C">
      <w:pPr>
        <w:tabs>
          <w:tab w:val="left" w:pos="450"/>
        </w:tabs>
        <w:spacing w:after="0" w:line="240" w:lineRule="auto"/>
        <w:rPr>
          <w:rFonts w:ascii="Verdana" w:hAnsi="Verdana"/>
          <w:sz w:val="16"/>
          <w:szCs w:val="16"/>
        </w:rPr>
      </w:pPr>
      <w:r w:rsidRPr="00BB0086">
        <w:rPr>
          <w:rFonts w:ascii="Verdana" w:hAnsi="Verdana"/>
          <w:sz w:val="20"/>
          <w:szCs w:val="20"/>
        </w:rPr>
        <w:tab/>
      </w:r>
      <w:r w:rsidR="00E4141C" w:rsidRPr="00BB0086">
        <w:rPr>
          <w:rFonts w:ascii="Verdana" w:hAnsi="Verdana"/>
          <w:sz w:val="16"/>
          <w:szCs w:val="16"/>
        </w:rPr>
        <w:t>US Census Bureau</w:t>
      </w:r>
      <w:r w:rsidRPr="00BB0086">
        <w:rPr>
          <w:rFonts w:ascii="Verdana" w:hAnsi="Verdana"/>
          <w:sz w:val="16"/>
          <w:szCs w:val="16"/>
        </w:rPr>
        <w:t xml:space="preserve">, </w:t>
      </w:r>
      <w:r w:rsidR="00E4141C" w:rsidRPr="00BB0086">
        <w:rPr>
          <w:rFonts w:ascii="Verdana" w:hAnsi="Verdana"/>
          <w:sz w:val="16"/>
          <w:szCs w:val="16"/>
        </w:rPr>
        <w:t xml:space="preserve">May </w:t>
      </w:r>
      <w:r w:rsidRPr="00BB0086">
        <w:rPr>
          <w:rFonts w:ascii="Verdana" w:hAnsi="Verdana"/>
          <w:sz w:val="16"/>
          <w:szCs w:val="16"/>
        </w:rPr>
        <w:t>201</w:t>
      </w:r>
      <w:r w:rsidR="00E4141C" w:rsidRPr="00BB0086">
        <w:rPr>
          <w:rFonts w:ascii="Verdana" w:hAnsi="Verdana"/>
          <w:sz w:val="16"/>
          <w:szCs w:val="16"/>
        </w:rPr>
        <w:t>9</w:t>
      </w:r>
    </w:p>
    <w:p w14:paraId="48B072E7" w14:textId="77777777" w:rsidR="00F43643" w:rsidRPr="00BB0086" w:rsidRDefault="00F43643" w:rsidP="00F43643">
      <w:pPr>
        <w:spacing w:after="0" w:line="240" w:lineRule="auto"/>
        <w:contextualSpacing/>
        <w:mirrorIndents/>
        <w:rPr>
          <w:sz w:val="20"/>
          <w:szCs w:val="20"/>
        </w:rPr>
      </w:pPr>
    </w:p>
    <w:p w14:paraId="7E1594AB" w14:textId="34C5784C" w:rsidR="00F43643" w:rsidRPr="00BB0086" w:rsidRDefault="00F43643" w:rsidP="00DC1098">
      <w:pPr>
        <w:spacing w:after="0" w:line="240" w:lineRule="auto"/>
        <w:contextualSpacing/>
        <w:mirrorIndents/>
        <w:jc w:val="center"/>
        <w:rPr>
          <w:b/>
          <w:sz w:val="20"/>
          <w:szCs w:val="20"/>
        </w:rPr>
      </w:pPr>
      <w:r w:rsidRPr="00BB0086">
        <w:rPr>
          <w:b/>
          <w:color w:val="0070C0"/>
          <w:sz w:val="20"/>
          <w:szCs w:val="20"/>
        </w:rPr>
        <w:t>Mapping the Movers</w:t>
      </w:r>
    </w:p>
    <w:p w14:paraId="1CF554AA" w14:textId="77777777" w:rsidR="00F43643" w:rsidRPr="00BB0086" w:rsidRDefault="00F43643" w:rsidP="00F43643">
      <w:pPr>
        <w:spacing w:after="0" w:line="240" w:lineRule="auto"/>
        <w:contextualSpacing/>
        <w:mirrorIndents/>
        <w:rPr>
          <w:sz w:val="20"/>
          <w:szCs w:val="20"/>
        </w:rPr>
      </w:pPr>
    </w:p>
    <w:p w14:paraId="6522E004" w14:textId="7DDEE1A0" w:rsidR="00DC1098" w:rsidRPr="00BB0086" w:rsidRDefault="00235883" w:rsidP="00235883">
      <w:pPr>
        <w:pStyle w:val="ListParagraph"/>
        <w:numPr>
          <w:ilvl w:val="0"/>
          <w:numId w:val="3"/>
        </w:numPr>
        <w:spacing w:after="0" w:line="240" w:lineRule="auto"/>
        <w:mirrorIndents/>
        <w:rPr>
          <w:sz w:val="20"/>
          <w:szCs w:val="20"/>
        </w:rPr>
      </w:pPr>
      <w:r w:rsidRPr="00BB0086">
        <w:rPr>
          <w:sz w:val="20"/>
          <w:szCs w:val="20"/>
        </w:rPr>
        <w:t xml:space="preserve">The US Census Bureau data also reveals </w:t>
      </w:r>
      <w:r w:rsidR="00196B46" w:rsidRPr="00BB0086">
        <w:rPr>
          <w:sz w:val="20"/>
          <w:szCs w:val="20"/>
        </w:rPr>
        <w:t>82.5% of all Americans 1+ moved within the same state where they were living, or 26.35 million</w:t>
      </w:r>
      <w:r w:rsidR="00E94E62">
        <w:rPr>
          <w:sz w:val="20"/>
          <w:szCs w:val="20"/>
        </w:rPr>
        <w:t>, and</w:t>
      </w:r>
      <w:r w:rsidR="00196B46" w:rsidRPr="00BB0086">
        <w:rPr>
          <w:sz w:val="20"/>
          <w:szCs w:val="20"/>
        </w:rPr>
        <w:t xml:space="preserve"> 15.2%, moved to a different state, or 4.84 million.</w:t>
      </w:r>
    </w:p>
    <w:p w14:paraId="36363143" w14:textId="039D3DD6" w:rsidR="00DC1098" w:rsidRPr="00BB0086" w:rsidRDefault="00DC1098" w:rsidP="00F43643">
      <w:pPr>
        <w:spacing w:after="0" w:line="240" w:lineRule="auto"/>
        <w:contextualSpacing/>
        <w:mirrorIndents/>
        <w:rPr>
          <w:sz w:val="20"/>
          <w:szCs w:val="20"/>
        </w:rPr>
      </w:pPr>
    </w:p>
    <w:p w14:paraId="4259F38A" w14:textId="12003193" w:rsidR="00196B46" w:rsidRPr="00BB0086" w:rsidRDefault="00196B46" w:rsidP="00196B46">
      <w:pPr>
        <w:pStyle w:val="ListParagraph"/>
        <w:numPr>
          <w:ilvl w:val="0"/>
          <w:numId w:val="3"/>
        </w:numPr>
        <w:spacing w:after="0" w:line="240" w:lineRule="auto"/>
        <w:mirrorIndents/>
        <w:rPr>
          <w:sz w:val="20"/>
          <w:szCs w:val="20"/>
        </w:rPr>
      </w:pPr>
      <w:r w:rsidRPr="00BB0086">
        <w:rPr>
          <w:sz w:val="20"/>
          <w:szCs w:val="20"/>
        </w:rPr>
        <w:t>According to My Moving Reviews’ Moving Statistics 2018 report, the busiest moving route w</w:t>
      </w:r>
      <w:r w:rsidR="00E94E62">
        <w:rPr>
          <w:sz w:val="20"/>
          <w:szCs w:val="20"/>
        </w:rPr>
        <w:t>as</w:t>
      </w:r>
      <w:r w:rsidRPr="00BB0086">
        <w:rPr>
          <w:sz w:val="20"/>
          <w:szCs w:val="20"/>
        </w:rPr>
        <w:t xml:space="preserve"> California to Texas, followed by New York to Florida, California to Washington, California to Arizona and New York to California.</w:t>
      </w:r>
    </w:p>
    <w:p w14:paraId="3C9F4D15" w14:textId="465CE117" w:rsidR="00196B46" w:rsidRPr="00BB0086" w:rsidRDefault="00196B46" w:rsidP="00F43643">
      <w:pPr>
        <w:spacing w:after="0" w:line="240" w:lineRule="auto"/>
        <w:contextualSpacing/>
        <w:mirrorIndents/>
        <w:rPr>
          <w:sz w:val="20"/>
          <w:szCs w:val="20"/>
        </w:rPr>
      </w:pPr>
    </w:p>
    <w:p w14:paraId="74340D9D" w14:textId="13E16BBB" w:rsidR="00196B46" w:rsidRPr="00BB0086" w:rsidRDefault="00196B46" w:rsidP="00196B46">
      <w:pPr>
        <w:pStyle w:val="ListParagraph"/>
        <w:numPr>
          <w:ilvl w:val="0"/>
          <w:numId w:val="3"/>
        </w:numPr>
        <w:spacing w:after="0" w:line="240" w:lineRule="auto"/>
        <w:mirrorIndents/>
        <w:rPr>
          <w:sz w:val="20"/>
          <w:szCs w:val="20"/>
        </w:rPr>
      </w:pPr>
      <w:r w:rsidRPr="00BB0086">
        <w:rPr>
          <w:sz w:val="20"/>
          <w:szCs w:val="20"/>
        </w:rPr>
        <w:t>My Moving Reviews reported California as the top state for local moves, followed by Texas, Georgia, Florida and New York.</w:t>
      </w:r>
    </w:p>
    <w:p w14:paraId="648A2116" w14:textId="77777777" w:rsidR="00196B46" w:rsidRPr="00BB0086" w:rsidRDefault="00196B46" w:rsidP="00F43643">
      <w:pPr>
        <w:spacing w:after="0" w:line="240" w:lineRule="auto"/>
        <w:contextualSpacing/>
        <w:mirrorIndents/>
        <w:rPr>
          <w:sz w:val="20"/>
          <w:szCs w:val="20"/>
        </w:rPr>
      </w:pPr>
    </w:p>
    <w:p w14:paraId="7998E7A0" w14:textId="5759CFFD" w:rsidR="00196B46" w:rsidRPr="00BB0086" w:rsidRDefault="00196B46" w:rsidP="00196B46">
      <w:pPr>
        <w:pStyle w:val="Header"/>
        <w:jc w:val="center"/>
        <w:rPr>
          <w:rFonts w:ascii="Verdana" w:hAnsi="Verdana"/>
          <w:b/>
          <w:sz w:val="20"/>
          <w:szCs w:val="20"/>
        </w:rPr>
      </w:pPr>
      <w:r w:rsidRPr="00BB0086">
        <w:rPr>
          <w:rFonts w:ascii="Verdana" w:hAnsi="Verdana"/>
          <w:b/>
          <w:sz w:val="20"/>
          <w:szCs w:val="20"/>
        </w:rPr>
        <w:t>Top 5 Inbound and Outbound States and Metro Areas, Q4 2018</w:t>
      </w:r>
    </w:p>
    <w:tbl>
      <w:tblPr>
        <w:tblW w:w="819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70"/>
        <w:gridCol w:w="2070"/>
        <w:gridCol w:w="2025"/>
        <w:gridCol w:w="2025"/>
      </w:tblGrid>
      <w:tr w:rsidR="00196B46" w:rsidRPr="00BB0086" w14:paraId="2D9820CE" w14:textId="77777777" w:rsidTr="00A06FFD">
        <w:trPr>
          <w:jc w:val="center"/>
        </w:trPr>
        <w:tc>
          <w:tcPr>
            <w:tcW w:w="4140" w:type="dxa"/>
            <w:gridSpan w:val="2"/>
            <w:tcBorders>
              <w:top w:val="single" w:sz="12" w:space="0" w:color="000000"/>
              <w:left w:val="single" w:sz="12" w:space="0" w:color="000000"/>
              <w:bottom w:val="single" w:sz="12" w:space="0" w:color="auto"/>
              <w:right w:val="single" w:sz="18" w:space="0" w:color="000000"/>
            </w:tcBorders>
            <w:vAlign w:val="center"/>
          </w:tcPr>
          <w:p w14:paraId="79FAEF5D" w14:textId="53F1E371" w:rsidR="00196B46" w:rsidRPr="00BB0086" w:rsidRDefault="00196B46"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States</w:t>
            </w:r>
          </w:p>
        </w:tc>
        <w:tc>
          <w:tcPr>
            <w:tcW w:w="4050" w:type="dxa"/>
            <w:gridSpan w:val="2"/>
            <w:tcBorders>
              <w:top w:val="single" w:sz="12" w:space="0" w:color="000000"/>
              <w:left w:val="single" w:sz="8" w:space="0" w:color="000000"/>
              <w:bottom w:val="single" w:sz="12" w:space="0" w:color="auto"/>
              <w:right w:val="single" w:sz="12" w:space="0" w:color="000000"/>
            </w:tcBorders>
            <w:vAlign w:val="center"/>
          </w:tcPr>
          <w:p w14:paraId="46B1C9D1" w14:textId="0C13C73E" w:rsidR="00196B46" w:rsidRPr="00BB0086" w:rsidRDefault="00196B46"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Metro Areas</w:t>
            </w:r>
          </w:p>
        </w:tc>
      </w:tr>
      <w:tr w:rsidR="00196B46" w:rsidRPr="00BB0086" w14:paraId="53259487" w14:textId="63331186" w:rsidTr="00A06FFD">
        <w:tblPrEx>
          <w:tblBorders>
            <w:top w:val="none" w:sz="0" w:space="0" w:color="auto"/>
          </w:tblBorders>
        </w:tblPrEx>
        <w:trPr>
          <w:jc w:val="center"/>
        </w:trPr>
        <w:tc>
          <w:tcPr>
            <w:tcW w:w="2070" w:type="dxa"/>
            <w:tcBorders>
              <w:top w:val="single" w:sz="12" w:space="0" w:color="auto"/>
              <w:left w:val="single" w:sz="12" w:space="0" w:color="000000"/>
              <w:bottom w:val="single" w:sz="18" w:space="0" w:color="auto"/>
              <w:right w:val="single" w:sz="8" w:space="0" w:color="auto"/>
            </w:tcBorders>
            <w:vAlign w:val="center"/>
          </w:tcPr>
          <w:p w14:paraId="402F5C6C" w14:textId="7AF8980B" w:rsidR="00196B46" w:rsidRPr="00BB0086" w:rsidRDefault="00196B46" w:rsidP="00196B46">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Inbound</w:t>
            </w:r>
          </w:p>
        </w:tc>
        <w:tc>
          <w:tcPr>
            <w:tcW w:w="2070" w:type="dxa"/>
            <w:tcBorders>
              <w:top w:val="single" w:sz="12" w:space="0" w:color="auto"/>
              <w:left w:val="single" w:sz="8" w:space="0" w:color="auto"/>
              <w:bottom w:val="single" w:sz="18" w:space="0" w:color="auto"/>
              <w:right w:val="single" w:sz="18" w:space="0" w:color="000000"/>
            </w:tcBorders>
            <w:vAlign w:val="center"/>
          </w:tcPr>
          <w:p w14:paraId="373EB420" w14:textId="307811FB" w:rsidR="00196B46" w:rsidRPr="00BB0086" w:rsidRDefault="00196B46" w:rsidP="00196B46">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Outbound</w:t>
            </w:r>
          </w:p>
        </w:tc>
        <w:tc>
          <w:tcPr>
            <w:tcW w:w="2025" w:type="dxa"/>
            <w:tcBorders>
              <w:top w:val="single" w:sz="12" w:space="0" w:color="auto"/>
              <w:left w:val="single" w:sz="8" w:space="0" w:color="000000"/>
              <w:bottom w:val="single" w:sz="18" w:space="0" w:color="auto"/>
              <w:right w:val="single" w:sz="8" w:space="0" w:color="auto"/>
            </w:tcBorders>
            <w:vAlign w:val="center"/>
          </w:tcPr>
          <w:p w14:paraId="03363F43" w14:textId="7D1BB431" w:rsidR="00196B46" w:rsidRPr="00BB0086" w:rsidRDefault="00196B46" w:rsidP="00196B46">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Inbound</w:t>
            </w:r>
          </w:p>
        </w:tc>
        <w:tc>
          <w:tcPr>
            <w:tcW w:w="2025" w:type="dxa"/>
            <w:tcBorders>
              <w:top w:val="single" w:sz="12" w:space="0" w:color="auto"/>
              <w:left w:val="single" w:sz="8" w:space="0" w:color="auto"/>
              <w:bottom w:val="single" w:sz="18" w:space="0" w:color="auto"/>
              <w:right w:val="single" w:sz="12" w:space="0" w:color="000000"/>
            </w:tcBorders>
            <w:vAlign w:val="center"/>
          </w:tcPr>
          <w:p w14:paraId="39343B10" w14:textId="278B5C2E" w:rsidR="00196B46" w:rsidRPr="00BB0086" w:rsidRDefault="00196B46" w:rsidP="00196B46">
            <w:pPr>
              <w:widowControl w:val="0"/>
              <w:numPr>
                <w:ilvl w:val="0"/>
                <w:numId w:val="2"/>
              </w:numPr>
              <w:tabs>
                <w:tab w:val="left" w:pos="220"/>
                <w:tab w:val="left" w:pos="720"/>
              </w:tabs>
              <w:autoSpaceDE w:val="0"/>
              <w:autoSpaceDN w:val="0"/>
              <w:adjustRightInd w:val="0"/>
              <w:spacing w:after="0" w:line="240" w:lineRule="auto"/>
              <w:ind w:left="0" w:firstLine="0"/>
              <w:jc w:val="center"/>
              <w:rPr>
                <w:rFonts w:ascii="Verdana" w:eastAsia="Times New Roman" w:hAnsi="Verdana"/>
                <w:sz w:val="20"/>
                <w:szCs w:val="20"/>
              </w:rPr>
            </w:pPr>
            <w:r w:rsidRPr="00BB0086">
              <w:rPr>
                <w:rFonts w:ascii="Verdana" w:eastAsia="Times New Roman" w:hAnsi="Verdana"/>
                <w:sz w:val="20"/>
                <w:szCs w:val="20"/>
              </w:rPr>
              <w:t>Outbound</w:t>
            </w:r>
          </w:p>
        </w:tc>
      </w:tr>
      <w:tr w:rsidR="00196B46" w:rsidRPr="00BB0086" w14:paraId="0F9AFAEE" w14:textId="21B3A728" w:rsidTr="00A06FFD">
        <w:tblPrEx>
          <w:tblBorders>
            <w:top w:val="none" w:sz="0" w:space="0" w:color="auto"/>
          </w:tblBorders>
        </w:tblPrEx>
        <w:trPr>
          <w:jc w:val="center"/>
        </w:trPr>
        <w:tc>
          <w:tcPr>
            <w:tcW w:w="2070" w:type="dxa"/>
            <w:tcBorders>
              <w:top w:val="single" w:sz="18" w:space="0" w:color="auto"/>
              <w:left w:val="single" w:sz="12" w:space="0" w:color="000000"/>
              <w:bottom w:val="single" w:sz="4" w:space="0" w:color="000000"/>
              <w:right w:val="single" w:sz="8" w:space="0" w:color="auto"/>
            </w:tcBorders>
            <w:vAlign w:val="center"/>
          </w:tcPr>
          <w:p w14:paraId="36A2201C" w14:textId="53730481"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California</w:t>
            </w:r>
          </w:p>
        </w:tc>
        <w:tc>
          <w:tcPr>
            <w:tcW w:w="2070" w:type="dxa"/>
            <w:tcBorders>
              <w:top w:val="single" w:sz="18" w:space="0" w:color="auto"/>
              <w:left w:val="single" w:sz="8" w:space="0" w:color="auto"/>
              <w:bottom w:val="single" w:sz="4" w:space="0" w:color="000000"/>
              <w:right w:val="single" w:sz="18" w:space="0" w:color="000000"/>
            </w:tcBorders>
            <w:vAlign w:val="center"/>
          </w:tcPr>
          <w:p w14:paraId="69E2578B" w14:textId="16E6B9BB"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Florida</w:t>
            </w:r>
          </w:p>
        </w:tc>
        <w:tc>
          <w:tcPr>
            <w:tcW w:w="2025" w:type="dxa"/>
            <w:tcBorders>
              <w:top w:val="single" w:sz="18" w:space="0" w:color="auto"/>
              <w:left w:val="single" w:sz="8" w:space="0" w:color="000000"/>
              <w:bottom w:val="single" w:sz="4" w:space="0" w:color="000000"/>
              <w:right w:val="single" w:sz="8" w:space="0" w:color="auto"/>
            </w:tcBorders>
            <w:shd w:val="clear" w:color="auto" w:fill="auto"/>
            <w:vAlign w:val="center"/>
          </w:tcPr>
          <w:p w14:paraId="358D7A56" w14:textId="564F2D84"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Washington, DC</w:t>
            </w:r>
          </w:p>
        </w:tc>
        <w:tc>
          <w:tcPr>
            <w:tcW w:w="2025" w:type="dxa"/>
            <w:tcBorders>
              <w:top w:val="single" w:sz="18" w:space="0" w:color="auto"/>
              <w:left w:val="single" w:sz="8" w:space="0" w:color="auto"/>
              <w:bottom w:val="single" w:sz="4" w:space="0" w:color="000000"/>
              <w:right w:val="single" w:sz="12" w:space="0" w:color="000000"/>
            </w:tcBorders>
            <w:shd w:val="clear" w:color="auto" w:fill="auto"/>
            <w:vAlign w:val="center"/>
          </w:tcPr>
          <w:p w14:paraId="04207D3B" w14:textId="2C731504"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Washington, DC</w:t>
            </w:r>
          </w:p>
        </w:tc>
      </w:tr>
      <w:tr w:rsidR="00196B46" w:rsidRPr="00BB0086" w14:paraId="02B4EC4B" w14:textId="77D06C86" w:rsidTr="00A06FFD">
        <w:tblPrEx>
          <w:tblBorders>
            <w:top w:val="none" w:sz="0" w:space="0" w:color="auto"/>
          </w:tblBorders>
        </w:tblPrEx>
        <w:trPr>
          <w:jc w:val="center"/>
        </w:trPr>
        <w:tc>
          <w:tcPr>
            <w:tcW w:w="2070" w:type="dxa"/>
            <w:tcBorders>
              <w:top w:val="single" w:sz="4" w:space="0" w:color="000000"/>
              <w:left w:val="single" w:sz="12" w:space="0" w:color="000000"/>
              <w:bottom w:val="single" w:sz="4" w:space="0" w:color="000000"/>
              <w:right w:val="single" w:sz="8" w:space="0" w:color="auto"/>
            </w:tcBorders>
            <w:vAlign w:val="center"/>
          </w:tcPr>
          <w:p w14:paraId="772A71C6" w14:textId="708DE0EC" w:rsidR="00196B46" w:rsidRPr="00BB0086" w:rsidRDefault="00196B46"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Texas</w:t>
            </w:r>
          </w:p>
        </w:tc>
        <w:tc>
          <w:tcPr>
            <w:tcW w:w="2070" w:type="dxa"/>
            <w:tcBorders>
              <w:top w:val="single" w:sz="4" w:space="0" w:color="000000"/>
              <w:left w:val="single" w:sz="8" w:space="0" w:color="auto"/>
              <w:bottom w:val="single" w:sz="4" w:space="0" w:color="000000"/>
              <w:right w:val="single" w:sz="18" w:space="0" w:color="000000"/>
            </w:tcBorders>
            <w:vAlign w:val="center"/>
          </w:tcPr>
          <w:p w14:paraId="125B94B4" w14:textId="55EFC85A"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Texas</w:t>
            </w:r>
          </w:p>
        </w:tc>
        <w:tc>
          <w:tcPr>
            <w:tcW w:w="2025" w:type="dxa"/>
            <w:tcBorders>
              <w:top w:val="single" w:sz="4" w:space="0" w:color="000000"/>
              <w:left w:val="single" w:sz="8" w:space="0" w:color="000000"/>
              <w:bottom w:val="single" w:sz="4" w:space="0" w:color="000000"/>
              <w:right w:val="single" w:sz="8" w:space="0" w:color="auto"/>
            </w:tcBorders>
            <w:shd w:val="clear" w:color="auto" w:fill="auto"/>
            <w:vAlign w:val="center"/>
          </w:tcPr>
          <w:p w14:paraId="325BB17E" w14:textId="525315A4"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Phoenix-Mesa, AZ</w:t>
            </w:r>
          </w:p>
        </w:tc>
        <w:tc>
          <w:tcPr>
            <w:tcW w:w="2025" w:type="dxa"/>
            <w:tcBorders>
              <w:top w:val="single" w:sz="4" w:space="0" w:color="000000"/>
              <w:left w:val="single" w:sz="8" w:space="0" w:color="auto"/>
              <w:bottom w:val="single" w:sz="4" w:space="0" w:color="000000"/>
              <w:right w:val="single" w:sz="12" w:space="0" w:color="000000"/>
            </w:tcBorders>
            <w:shd w:val="clear" w:color="auto" w:fill="auto"/>
            <w:vAlign w:val="center"/>
          </w:tcPr>
          <w:p w14:paraId="11E03CF4" w14:textId="5D05845E"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Chicago, IL</w:t>
            </w:r>
          </w:p>
        </w:tc>
      </w:tr>
      <w:tr w:rsidR="00196B46" w:rsidRPr="00BB0086" w14:paraId="6B53A7BF" w14:textId="2A17A08E" w:rsidTr="00A06FFD">
        <w:tblPrEx>
          <w:tblBorders>
            <w:top w:val="none" w:sz="0" w:space="0" w:color="auto"/>
          </w:tblBorders>
        </w:tblPrEx>
        <w:trPr>
          <w:jc w:val="center"/>
        </w:trPr>
        <w:tc>
          <w:tcPr>
            <w:tcW w:w="2070" w:type="dxa"/>
            <w:tcBorders>
              <w:top w:val="single" w:sz="4" w:space="0" w:color="000000"/>
              <w:left w:val="single" w:sz="12" w:space="0" w:color="000000"/>
              <w:bottom w:val="single" w:sz="4" w:space="0" w:color="000000"/>
              <w:right w:val="single" w:sz="8" w:space="0" w:color="auto"/>
            </w:tcBorders>
            <w:shd w:val="clear" w:color="auto" w:fill="auto"/>
            <w:vAlign w:val="center"/>
          </w:tcPr>
          <w:p w14:paraId="47992D17" w14:textId="4722BBEE" w:rsidR="00196B46" w:rsidRPr="00BB0086" w:rsidRDefault="00196B46"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Florida</w:t>
            </w:r>
          </w:p>
        </w:tc>
        <w:tc>
          <w:tcPr>
            <w:tcW w:w="2070" w:type="dxa"/>
            <w:tcBorders>
              <w:top w:val="single" w:sz="4" w:space="0" w:color="000000"/>
              <w:left w:val="single" w:sz="8" w:space="0" w:color="auto"/>
              <w:bottom w:val="single" w:sz="4" w:space="0" w:color="000000"/>
              <w:right w:val="single" w:sz="18" w:space="0" w:color="000000"/>
            </w:tcBorders>
            <w:shd w:val="clear" w:color="auto" w:fill="auto"/>
            <w:vAlign w:val="center"/>
          </w:tcPr>
          <w:p w14:paraId="5BCE1E8B" w14:textId="5107B1EF"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California</w:t>
            </w:r>
          </w:p>
        </w:tc>
        <w:tc>
          <w:tcPr>
            <w:tcW w:w="2025" w:type="dxa"/>
            <w:tcBorders>
              <w:top w:val="single" w:sz="4" w:space="0" w:color="000000"/>
              <w:left w:val="single" w:sz="8" w:space="0" w:color="000000"/>
              <w:bottom w:val="single" w:sz="4" w:space="0" w:color="000000"/>
              <w:right w:val="single" w:sz="8" w:space="0" w:color="auto"/>
            </w:tcBorders>
            <w:shd w:val="clear" w:color="auto" w:fill="auto"/>
            <w:vAlign w:val="center"/>
          </w:tcPr>
          <w:p w14:paraId="30CE099D" w14:textId="39D231B0"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Seattle, WA</w:t>
            </w:r>
          </w:p>
        </w:tc>
        <w:tc>
          <w:tcPr>
            <w:tcW w:w="2025" w:type="dxa"/>
            <w:tcBorders>
              <w:top w:val="single" w:sz="4" w:space="0" w:color="000000"/>
              <w:left w:val="single" w:sz="8" w:space="0" w:color="auto"/>
              <w:bottom w:val="single" w:sz="4" w:space="0" w:color="000000"/>
              <w:right w:val="single" w:sz="12" w:space="0" w:color="000000"/>
            </w:tcBorders>
            <w:shd w:val="clear" w:color="auto" w:fill="auto"/>
            <w:vAlign w:val="center"/>
          </w:tcPr>
          <w:p w14:paraId="67773941" w14:textId="673FA687"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San Diego, CA</w:t>
            </w:r>
          </w:p>
        </w:tc>
      </w:tr>
      <w:tr w:rsidR="00196B46" w:rsidRPr="00BB0086" w14:paraId="56CBD65A" w14:textId="59BC8DBA" w:rsidTr="00A06FFD">
        <w:tblPrEx>
          <w:tblBorders>
            <w:top w:val="none" w:sz="0" w:space="0" w:color="auto"/>
          </w:tblBorders>
        </w:tblPrEx>
        <w:trPr>
          <w:jc w:val="center"/>
        </w:trPr>
        <w:tc>
          <w:tcPr>
            <w:tcW w:w="2070" w:type="dxa"/>
            <w:tcBorders>
              <w:top w:val="single" w:sz="4" w:space="0" w:color="000000"/>
              <w:left w:val="single" w:sz="12" w:space="0" w:color="000000"/>
              <w:bottom w:val="single" w:sz="4" w:space="0" w:color="000000"/>
              <w:right w:val="single" w:sz="8" w:space="0" w:color="auto"/>
            </w:tcBorders>
            <w:shd w:val="clear" w:color="auto" w:fill="auto"/>
            <w:vAlign w:val="center"/>
          </w:tcPr>
          <w:p w14:paraId="035730D1" w14:textId="21B0CDC4"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Illinois</w:t>
            </w:r>
          </w:p>
        </w:tc>
        <w:tc>
          <w:tcPr>
            <w:tcW w:w="2070" w:type="dxa"/>
            <w:tcBorders>
              <w:top w:val="single" w:sz="4" w:space="0" w:color="000000"/>
              <w:left w:val="single" w:sz="8" w:space="0" w:color="auto"/>
              <w:bottom w:val="single" w:sz="4" w:space="0" w:color="000000"/>
              <w:right w:val="single" w:sz="18" w:space="0" w:color="000000"/>
            </w:tcBorders>
            <w:shd w:val="clear" w:color="auto" w:fill="auto"/>
            <w:vAlign w:val="center"/>
          </w:tcPr>
          <w:p w14:paraId="439B4F64" w14:textId="25BC14F2"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North Carolina</w:t>
            </w:r>
          </w:p>
        </w:tc>
        <w:tc>
          <w:tcPr>
            <w:tcW w:w="2025" w:type="dxa"/>
            <w:tcBorders>
              <w:top w:val="single" w:sz="4" w:space="0" w:color="000000"/>
              <w:left w:val="single" w:sz="8" w:space="0" w:color="000000"/>
              <w:bottom w:val="single" w:sz="4" w:space="0" w:color="000000"/>
              <w:right w:val="single" w:sz="8" w:space="0" w:color="auto"/>
            </w:tcBorders>
            <w:shd w:val="clear" w:color="auto" w:fill="auto"/>
            <w:vAlign w:val="center"/>
          </w:tcPr>
          <w:p w14:paraId="5B25DE3E" w14:textId="61E7807E"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Atlanta, GA</w:t>
            </w:r>
          </w:p>
        </w:tc>
        <w:tc>
          <w:tcPr>
            <w:tcW w:w="2025" w:type="dxa"/>
            <w:tcBorders>
              <w:top w:val="single" w:sz="4" w:space="0" w:color="000000"/>
              <w:left w:val="single" w:sz="8" w:space="0" w:color="auto"/>
              <w:bottom w:val="single" w:sz="4" w:space="0" w:color="000000"/>
              <w:right w:val="single" w:sz="12" w:space="0" w:color="000000"/>
            </w:tcBorders>
            <w:shd w:val="clear" w:color="auto" w:fill="auto"/>
            <w:vAlign w:val="center"/>
          </w:tcPr>
          <w:p w14:paraId="31960A03" w14:textId="3A91EEAF"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Los Angeles, CA</w:t>
            </w:r>
          </w:p>
        </w:tc>
      </w:tr>
      <w:tr w:rsidR="00196B46" w:rsidRPr="00BB0086" w14:paraId="657153E9" w14:textId="12D81DAC" w:rsidTr="00A06FFD">
        <w:tblPrEx>
          <w:tblBorders>
            <w:top w:val="none" w:sz="0" w:space="0" w:color="auto"/>
          </w:tblBorders>
        </w:tblPrEx>
        <w:trPr>
          <w:jc w:val="center"/>
        </w:trPr>
        <w:tc>
          <w:tcPr>
            <w:tcW w:w="2070" w:type="dxa"/>
            <w:tcBorders>
              <w:top w:val="single" w:sz="4" w:space="0" w:color="000000"/>
              <w:left w:val="single" w:sz="12" w:space="0" w:color="000000"/>
              <w:bottom w:val="single" w:sz="12" w:space="0" w:color="000000"/>
              <w:right w:val="single" w:sz="8" w:space="0" w:color="auto"/>
            </w:tcBorders>
            <w:shd w:val="clear" w:color="auto" w:fill="auto"/>
            <w:vAlign w:val="center"/>
          </w:tcPr>
          <w:p w14:paraId="64EB0EC3" w14:textId="26853480"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New York</w:t>
            </w:r>
          </w:p>
        </w:tc>
        <w:tc>
          <w:tcPr>
            <w:tcW w:w="2070" w:type="dxa"/>
            <w:tcBorders>
              <w:top w:val="single" w:sz="4" w:space="0" w:color="000000"/>
              <w:left w:val="single" w:sz="8" w:space="0" w:color="auto"/>
              <w:bottom w:val="single" w:sz="12" w:space="0" w:color="000000"/>
              <w:right w:val="single" w:sz="18" w:space="0" w:color="000000"/>
            </w:tcBorders>
            <w:shd w:val="clear" w:color="auto" w:fill="auto"/>
            <w:vAlign w:val="center"/>
          </w:tcPr>
          <w:p w14:paraId="614CC3C1" w14:textId="47B021AF" w:rsidR="00196B46" w:rsidRPr="00BB0086" w:rsidRDefault="00A06FFD"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Washington</w:t>
            </w:r>
          </w:p>
        </w:tc>
        <w:tc>
          <w:tcPr>
            <w:tcW w:w="2025" w:type="dxa"/>
            <w:tcBorders>
              <w:top w:val="single" w:sz="4" w:space="0" w:color="000000"/>
              <w:left w:val="single" w:sz="8" w:space="0" w:color="000000"/>
              <w:bottom w:val="single" w:sz="12" w:space="0" w:color="auto"/>
              <w:right w:val="single" w:sz="8" w:space="0" w:color="auto"/>
            </w:tcBorders>
            <w:vAlign w:val="center"/>
          </w:tcPr>
          <w:p w14:paraId="48C26A35" w14:textId="4EDE3672"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Dallas, TX</w:t>
            </w:r>
          </w:p>
        </w:tc>
        <w:tc>
          <w:tcPr>
            <w:tcW w:w="2025" w:type="dxa"/>
            <w:tcBorders>
              <w:top w:val="single" w:sz="4" w:space="0" w:color="000000"/>
              <w:left w:val="single" w:sz="8" w:space="0" w:color="auto"/>
              <w:bottom w:val="single" w:sz="12" w:space="0" w:color="auto"/>
              <w:right w:val="single" w:sz="12" w:space="0" w:color="000000"/>
            </w:tcBorders>
            <w:vAlign w:val="center"/>
          </w:tcPr>
          <w:p w14:paraId="07F6FCAB" w14:textId="6D3E3BA9" w:rsidR="00196B46" w:rsidRPr="00BB0086" w:rsidRDefault="00A06FFD" w:rsidP="00A06FFD">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Seattle, WA</w:t>
            </w:r>
          </w:p>
        </w:tc>
      </w:tr>
    </w:tbl>
    <w:p w14:paraId="47ACF79F" w14:textId="62A804E7" w:rsidR="00196B46" w:rsidRPr="00BB0086" w:rsidRDefault="00196B46" w:rsidP="00A06FFD">
      <w:pPr>
        <w:tabs>
          <w:tab w:val="left" w:pos="630"/>
        </w:tabs>
        <w:spacing w:after="0" w:line="240" w:lineRule="auto"/>
        <w:rPr>
          <w:rFonts w:ascii="Verdana" w:hAnsi="Verdana"/>
          <w:sz w:val="16"/>
          <w:szCs w:val="16"/>
        </w:rPr>
      </w:pPr>
      <w:r w:rsidRPr="00BB0086">
        <w:rPr>
          <w:rFonts w:ascii="Verdana" w:hAnsi="Verdana"/>
          <w:sz w:val="20"/>
          <w:szCs w:val="20"/>
        </w:rPr>
        <w:tab/>
      </w:r>
      <w:r w:rsidR="00A06FFD" w:rsidRPr="00BB0086">
        <w:rPr>
          <w:rFonts w:ascii="Verdana" w:hAnsi="Verdana"/>
          <w:sz w:val="16"/>
          <w:szCs w:val="16"/>
        </w:rPr>
        <w:t>American Moving &amp; Storage Association</w:t>
      </w:r>
      <w:r w:rsidRPr="00BB0086">
        <w:rPr>
          <w:rFonts w:ascii="Verdana" w:hAnsi="Verdana"/>
          <w:sz w:val="16"/>
          <w:szCs w:val="16"/>
        </w:rPr>
        <w:t>, May 2019</w:t>
      </w:r>
    </w:p>
    <w:p w14:paraId="0ABDD102" w14:textId="305B6411" w:rsidR="00F43643" w:rsidRPr="00BB0086" w:rsidRDefault="00F43643" w:rsidP="002671ED">
      <w:pPr>
        <w:spacing w:after="0" w:line="240" w:lineRule="auto"/>
        <w:contextualSpacing/>
        <w:mirrorIndents/>
        <w:jc w:val="center"/>
        <w:rPr>
          <w:b/>
          <w:color w:val="0070C0"/>
          <w:sz w:val="20"/>
          <w:szCs w:val="20"/>
        </w:rPr>
      </w:pPr>
      <w:r w:rsidRPr="00BB0086">
        <w:rPr>
          <w:b/>
          <w:color w:val="0070C0"/>
          <w:sz w:val="20"/>
          <w:szCs w:val="20"/>
        </w:rPr>
        <w:lastRenderedPageBreak/>
        <w:t>Moving Dynamics</w:t>
      </w:r>
    </w:p>
    <w:p w14:paraId="2F07E5A3" w14:textId="77777777" w:rsidR="00F43643" w:rsidRPr="00BB0086" w:rsidRDefault="00F43643" w:rsidP="00F43643">
      <w:pPr>
        <w:spacing w:after="0" w:line="240" w:lineRule="auto"/>
        <w:contextualSpacing/>
        <w:mirrorIndents/>
        <w:rPr>
          <w:sz w:val="20"/>
          <w:szCs w:val="20"/>
        </w:rPr>
      </w:pPr>
    </w:p>
    <w:p w14:paraId="05F5BB4D" w14:textId="3A339012" w:rsidR="002671ED" w:rsidRPr="00BB0086" w:rsidRDefault="0071795E" w:rsidP="0071795E">
      <w:pPr>
        <w:pStyle w:val="ListParagraph"/>
        <w:numPr>
          <w:ilvl w:val="0"/>
          <w:numId w:val="4"/>
        </w:numPr>
        <w:spacing w:after="0" w:line="240" w:lineRule="auto"/>
        <w:mirrorIndents/>
        <w:rPr>
          <w:sz w:val="20"/>
          <w:szCs w:val="20"/>
        </w:rPr>
      </w:pPr>
      <w:r w:rsidRPr="00BB0086">
        <w:rPr>
          <w:sz w:val="20"/>
          <w:szCs w:val="20"/>
        </w:rPr>
        <w:t>According to My Moving Reviews’ Moving Statistics 2018 report, a one-bedroom residence had the largest share of moves during 2018, or 29%, with two-bedroom second, at 21%, and three-bedroom third, at 20%, a 4% increase from 2017.</w:t>
      </w:r>
    </w:p>
    <w:p w14:paraId="287ABAA7" w14:textId="77777777" w:rsidR="002671ED" w:rsidRPr="00BB0086" w:rsidRDefault="002671ED" w:rsidP="00F43643">
      <w:pPr>
        <w:spacing w:after="0" w:line="240" w:lineRule="auto"/>
        <w:contextualSpacing/>
        <w:mirrorIndents/>
        <w:rPr>
          <w:sz w:val="20"/>
          <w:szCs w:val="20"/>
        </w:rPr>
      </w:pPr>
    </w:p>
    <w:p w14:paraId="3CA646E1" w14:textId="002AC9DB" w:rsidR="002671ED" w:rsidRPr="00BB0086" w:rsidRDefault="0071795E" w:rsidP="0071795E">
      <w:pPr>
        <w:pStyle w:val="ListParagraph"/>
        <w:numPr>
          <w:ilvl w:val="0"/>
          <w:numId w:val="4"/>
        </w:numPr>
        <w:spacing w:after="0" w:line="240" w:lineRule="auto"/>
        <w:mirrorIndents/>
        <w:rPr>
          <w:sz w:val="20"/>
          <w:szCs w:val="20"/>
        </w:rPr>
      </w:pPr>
      <w:r w:rsidRPr="00BB0086">
        <w:rPr>
          <w:sz w:val="20"/>
          <w:szCs w:val="20"/>
        </w:rPr>
        <w:t>Not surprisingly, Friday and Saturday were the busiest moving days of 2018, at 20% and 18%, respectively, with Monday, third, at 16%. Friday has been the busiest moving day for seven consecutive years.</w:t>
      </w:r>
    </w:p>
    <w:p w14:paraId="7DE5CCE9" w14:textId="77777777" w:rsidR="002671ED" w:rsidRPr="00BB0086" w:rsidRDefault="002671ED" w:rsidP="00F43643">
      <w:pPr>
        <w:spacing w:after="0" w:line="240" w:lineRule="auto"/>
        <w:contextualSpacing/>
        <w:mirrorIndents/>
        <w:rPr>
          <w:sz w:val="20"/>
          <w:szCs w:val="20"/>
        </w:rPr>
      </w:pPr>
    </w:p>
    <w:p w14:paraId="4B917911" w14:textId="0E76D9F2" w:rsidR="002671ED" w:rsidRPr="00E94E62" w:rsidRDefault="0071795E" w:rsidP="00E94E62">
      <w:pPr>
        <w:pStyle w:val="ListParagraph"/>
        <w:numPr>
          <w:ilvl w:val="0"/>
          <w:numId w:val="4"/>
        </w:numPr>
        <w:spacing w:after="0" w:line="240" w:lineRule="auto"/>
        <w:mirrorIndents/>
        <w:rPr>
          <w:sz w:val="20"/>
          <w:szCs w:val="20"/>
        </w:rPr>
      </w:pPr>
      <w:r w:rsidRPr="00BB0086">
        <w:rPr>
          <w:sz w:val="20"/>
          <w:szCs w:val="20"/>
        </w:rPr>
        <w:t>The busiest date changed, however, from June 30</w:t>
      </w:r>
      <w:r w:rsidRPr="00BB0086">
        <w:rPr>
          <w:sz w:val="20"/>
          <w:szCs w:val="20"/>
          <w:vertAlign w:val="superscript"/>
        </w:rPr>
        <w:t>th</w:t>
      </w:r>
      <w:r w:rsidRPr="00BB0086">
        <w:rPr>
          <w:sz w:val="20"/>
          <w:szCs w:val="20"/>
        </w:rPr>
        <w:t xml:space="preserve"> (previously first for 2016 and 2017) to June </w:t>
      </w:r>
      <w:r w:rsidR="00E94E62">
        <w:rPr>
          <w:sz w:val="20"/>
          <w:szCs w:val="20"/>
        </w:rPr>
        <w:t>1</w:t>
      </w:r>
      <w:r w:rsidR="00E94E62" w:rsidRPr="00E94E62">
        <w:rPr>
          <w:sz w:val="20"/>
          <w:szCs w:val="20"/>
          <w:vertAlign w:val="superscript"/>
        </w:rPr>
        <w:t>st</w:t>
      </w:r>
      <w:r w:rsidRPr="00E94E62">
        <w:rPr>
          <w:sz w:val="20"/>
          <w:szCs w:val="20"/>
        </w:rPr>
        <w:t>, with August 1</w:t>
      </w:r>
      <w:r w:rsidRPr="00E94E62">
        <w:rPr>
          <w:sz w:val="20"/>
          <w:szCs w:val="20"/>
          <w:vertAlign w:val="superscript"/>
        </w:rPr>
        <w:t>st</w:t>
      </w:r>
      <w:r w:rsidRPr="00E94E62">
        <w:rPr>
          <w:sz w:val="20"/>
          <w:szCs w:val="20"/>
        </w:rPr>
        <w:t>, second, as presumably many families and college students moved just before the start of the school year.</w:t>
      </w:r>
    </w:p>
    <w:p w14:paraId="3BBDF578" w14:textId="2206EDF5" w:rsidR="002671ED" w:rsidRPr="00BB0086" w:rsidRDefault="002671ED" w:rsidP="00F43643">
      <w:pPr>
        <w:spacing w:after="0" w:line="240" w:lineRule="auto"/>
        <w:contextualSpacing/>
        <w:mirrorIndents/>
        <w:rPr>
          <w:sz w:val="20"/>
          <w:szCs w:val="20"/>
        </w:rPr>
      </w:pPr>
    </w:p>
    <w:p w14:paraId="25C17E26" w14:textId="7E6F335C" w:rsidR="0071795E" w:rsidRPr="00BB0086" w:rsidRDefault="0071795E" w:rsidP="0071795E">
      <w:pPr>
        <w:pStyle w:val="Header"/>
        <w:jc w:val="center"/>
        <w:rPr>
          <w:rFonts w:ascii="Verdana" w:hAnsi="Verdana"/>
          <w:b/>
          <w:sz w:val="20"/>
          <w:szCs w:val="20"/>
        </w:rPr>
      </w:pPr>
      <w:r w:rsidRPr="00BB0086">
        <w:rPr>
          <w:rFonts w:ascii="Verdana" w:hAnsi="Verdana"/>
          <w:b/>
          <w:sz w:val="20"/>
          <w:szCs w:val="20"/>
        </w:rPr>
        <w:t>Percentage of Moves Per Month, 2018</w:t>
      </w:r>
    </w:p>
    <w:tbl>
      <w:tblPr>
        <w:tblW w:w="4665" w:type="dxa"/>
        <w:jc w:val="center"/>
        <w:tblBorders>
          <w:left w:val="single" w:sz="8" w:space="0" w:color="000000"/>
          <w:right w:val="single" w:sz="8" w:space="0" w:color="000000"/>
        </w:tblBorders>
        <w:tblLayout w:type="fixed"/>
        <w:tblLook w:val="0000" w:firstRow="0" w:lastRow="0" w:firstColumn="0" w:lastColumn="0" w:noHBand="0" w:noVBand="0"/>
      </w:tblPr>
      <w:tblGrid>
        <w:gridCol w:w="1350"/>
        <w:gridCol w:w="1005"/>
        <w:gridCol w:w="1320"/>
        <w:gridCol w:w="990"/>
      </w:tblGrid>
      <w:tr w:rsidR="0071795E" w:rsidRPr="00BB0086" w14:paraId="0CBEEC2B" w14:textId="77777777" w:rsidTr="0071795E">
        <w:trPr>
          <w:jc w:val="center"/>
        </w:trPr>
        <w:tc>
          <w:tcPr>
            <w:tcW w:w="1350" w:type="dxa"/>
            <w:tcBorders>
              <w:top w:val="single" w:sz="12" w:space="0" w:color="auto"/>
              <w:left w:val="single" w:sz="12" w:space="0" w:color="000000"/>
              <w:bottom w:val="single" w:sz="18" w:space="0" w:color="auto"/>
              <w:right w:val="single" w:sz="8" w:space="0" w:color="auto"/>
            </w:tcBorders>
            <w:vAlign w:val="center"/>
          </w:tcPr>
          <w:p w14:paraId="63C56921" w14:textId="6CB2A2F4" w:rsidR="0071795E" w:rsidRPr="00BB0086" w:rsidRDefault="0071795E"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Month</w:t>
            </w:r>
          </w:p>
        </w:tc>
        <w:tc>
          <w:tcPr>
            <w:tcW w:w="1005" w:type="dxa"/>
            <w:tcBorders>
              <w:top w:val="single" w:sz="12" w:space="0" w:color="auto"/>
              <w:left w:val="single" w:sz="8" w:space="0" w:color="auto"/>
              <w:bottom w:val="single" w:sz="18" w:space="0" w:color="auto"/>
              <w:right w:val="single" w:sz="18" w:space="0" w:color="000000"/>
            </w:tcBorders>
            <w:vAlign w:val="center"/>
          </w:tcPr>
          <w:p w14:paraId="275F0728" w14:textId="1AFB724D" w:rsidR="0071795E" w:rsidRPr="00BB0086" w:rsidRDefault="0071795E"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Percent</w:t>
            </w:r>
          </w:p>
        </w:tc>
        <w:tc>
          <w:tcPr>
            <w:tcW w:w="1320" w:type="dxa"/>
            <w:tcBorders>
              <w:top w:val="single" w:sz="12" w:space="0" w:color="auto"/>
              <w:left w:val="single" w:sz="8" w:space="0" w:color="000000"/>
              <w:bottom w:val="single" w:sz="18" w:space="0" w:color="auto"/>
              <w:right w:val="single" w:sz="8" w:space="0" w:color="auto"/>
            </w:tcBorders>
            <w:vAlign w:val="center"/>
          </w:tcPr>
          <w:p w14:paraId="03A26027" w14:textId="2B06EF9F" w:rsidR="0071795E" w:rsidRPr="00BB0086" w:rsidRDefault="0071795E" w:rsidP="00495212">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Month</w:t>
            </w:r>
          </w:p>
        </w:tc>
        <w:tc>
          <w:tcPr>
            <w:tcW w:w="990" w:type="dxa"/>
            <w:tcBorders>
              <w:top w:val="single" w:sz="12" w:space="0" w:color="auto"/>
              <w:left w:val="single" w:sz="8" w:space="0" w:color="auto"/>
              <w:bottom w:val="single" w:sz="18" w:space="0" w:color="auto"/>
              <w:right w:val="single" w:sz="12" w:space="0" w:color="000000"/>
            </w:tcBorders>
            <w:vAlign w:val="center"/>
          </w:tcPr>
          <w:p w14:paraId="074F6AC0" w14:textId="0C6FB886" w:rsidR="0071795E" w:rsidRPr="00BB0086" w:rsidRDefault="0071795E" w:rsidP="00495212">
            <w:pPr>
              <w:widowControl w:val="0"/>
              <w:numPr>
                <w:ilvl w:val="0"/>
                <w:numId w:val="2"/>
              </w:numPr>
              <w:tabs>
                <w:tab w:val="left" w:pos="220"/>
                <w:tab w:val="left" w:pos="720"/>
              </w:tabs>
              <w:autoSpaceDE w:val="0"/>
              <w:autoSpaceDN w:val="0"/>
              <w:adjustRightInd w:val="0"/>
              <w:spacing w:after="0" w:line="240" w:lineRule="auto"/>
              <w:ind w:left="0" w:firstLine="0"/>
              <w:jc w:val="center"/>
              <w:rPr>
                <w:rFonts w:ascii="Verdana" w:eastAsia="Times New Roman" w:hAnsi="Verdana"/>
                <w:sz w:val="20"/>
                <w:szCs w:val="20"/>
              </w:rPr>
            </w:pPr>
            <w:r w:rsidRPr="00BB0086">
              <w:rPr>
                <w:rFonts w:ascii="Verdana" w:eastAsia="Times New Roman" w:hAnsi="Verdana"/>
                <w:sz w:val="20"/>
                <w:szCs w:val="20"/>
              </w:rPr>
              <w:t>Percent</w:t>
            </w:r>
          </w:p>
        </w:tc>
      </w:tr>
      <w:tr w:rsidR="0071795E" w:rsidRPr="00BB0086" w14:paraId="0DCA99A9" w14:textId="77777777" w:rsidTr="0071795E">
        <w:trPr>
          <w:jc w:val="center"/>
        </w:trPr>
        <w:tc>
          <w:tcPr>
            <w:tcW w:w="1350" w:type="dxa"/>
            <w:tcBorders>
              <w:top w:val="single" w:sz="18" w:space="0" w:color="auto"/>
              <w:left w:val="single" w:sz="12" w:space="0" w:color="000000"/>
              <w:bottom w:val="single" w:sz="4" w:space="0" w:color="000000"/>
              <w:right w:val="single" w:sz="8" w:space="0" w:color="auto"/>
            </w:tcBorders>
            <w:vAlign w:val="center"/>
          </w:tcPr>
          <w:p w14:paraId="1376EBBD" w14:textId="72E2F21B" w:rsidR="0071795E" w:rsidRPr="00BB0086" w:rsidRDefault="0071795E"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January</w:t>
            </w:r>
          </w:p>
        </w:tc>
        <w:tc>
          <w:tcPr>
            <w:tcW w:w="1005" w:type="dxa"/>
            <w:tcBorders>
              <w:top w:val="single" w:sz="18" w:space="0" w:color="auto"/>
              <w:left w:val="single" w:sz="8" w:space="0" w:color="auto"/>
              <w:bottom w:val="single" w:sz="4" w:space="0" w:color="000000"/>
              <w:right w:val="single" w:sz="18" w:space="0" w:color="000000"/>
            </w:tcBorders>
            <w:vAlign w:val="center"/>
          </w:tcPr>
          <w:p w14:paraId="543E7B64" w14:textId="427135D8" w:rsidR="0071795E" w:rsidRPr="00BB0086" w:rsidRDefault="0071795E" w:rsidP="0071795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3%</w:t>
            </w:r>
          </w:p>
        </w:tc>
        <w:tc>
          <w:tcPr>
            <w:tcW w:w="1320" w:type="dxa"/>
            <w:tcBorders>
              <w:top w:val="single" w:sz="18" w:space="0" w:color="auto"/>
              <w:left w:val="single" w:sz="8" w:space="0" w:color="000000"/>
              <w:bottom w:val="single" w:sz="4" w:space="0" w:color="000000"/>
              <w:right w:val="single" w:sz="8" w:space="0" w:color="auto"/>
            </w:tcBorders>
            <w:shd w:val="clear" w:color="auto" w:fill="auto"/>
            <w:vAlign w:val="center"/>
          </w:tcPr>
          <w:p w14:paraId="7C107AF9" w14:textId="46378ACF" w:rsidR="0071795E" w:rsidRPr="00BB0086" w:rsidRDefault="0071795E" w:rsidP="00495212">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July</w:t>
            </w:r>
          </w:p>
        </w:tc>
        <w:tc>
          <w:tcPr>
            <w:tcW w:w="990" w:type="dxa"/>
            <w:tcBorders>
              <w:top w:val="single" w:sz="18" w:space="0" w:color="auto"/>
              <w:left w:val="single" w:sz="8" w:space="0" w:color="auto"/>
              <w:bottom w:val="single" w:sz="4" w:space="0" w:color="000000"/>
              <w:right w:val="single" w:sz="12" w:space="0" w:color="000000"/>
            </w:tcBorders>
            <w:shd w:val="clear" w:color="auto" w:fill="auto"/>
            <w:vAlign w:val="center"/>
          </w:tcPr>
          <w:p w14:paraId="1F4AA5E2" w14:textId="5BABB9ED" w:rsidR="0071795E" w:rsidRPr="00BB0086" w:rsidRDefault="0071795E" w:rsidP="0071795E">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12%</w:t>
            </w:r>
          </w:p>
        </w:tc>
      </w:tr>
      <w:tr w:rsidR="0071795E" w:rsidRPr="00BB0086" w14:paraId="495C0734" w14:textId="77777777" w:rsidTr="0071795E">
        <w:trPr>
          <w:jc w:val="center"/>
        </w:trPr>
        <w:tc>
          <w:tcPr>
            <w:tcW w:w="1350" w:type="dxa"/>
            <w:tcBorders>
              <w:top w:val="single" w:sz="4" w:space="0" w:color="000000"/>
              <w:left w:val="single" w:sz="12" w:space="0" w:color="000000"/>
              <w:bottom w:val="single" w:sz="4" w:space="0" w:color="000000"/>
              <w:right w:val="single" w:sz="8" w:space="0" w:color="auto"/>
            </w:tcBorders>
            <w:vAlign w:val="center"/>
          </w:tcPr>
          <w:p w14:paraId="3075919B" w14:textId="0B5EB42A" w:rsidR="0071795E" w:rsidRPr="00BB0086" w:rsidRDefault="0071795E"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February</w:t>
            </w:r>
          </w:p>
        </w:tc>
        <w:tc>
          <w:tcPr>
            <w:tcW w:w="1005" w:type="dxa"/>
            <w:tcBorders>
              <w:top w:val="single" w:sz="4" w:space="0" w:color="000000"/>
              <w:left w:val="single" w:sz="8" w:space="0" w:color="auto"/>
              <w:bottom w:val="single" w:sz="4" w:space="0" w:color="000000"/>
              <w:right w:val="single" w:sz="18" w:space="0" w:color="000000"/>
            </w:tcBorders>
            <w:vAlign w:val="center"/>
          </w:tcPr>
          <w:p w14:paraId="295FBD67" w14:textId="1B724F73" w:rsidR="0071795E" w:rsidRPr="00BB0086" w:rsidRDefault="0071795E" w:rsidP="0071795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6%</w:t>
            </w:r>
          </w:p>
        </w:tc>
        <w:tc>
          <w:tcPr>
            <w:tcW w:w="1320" w:type="dxa"/>
            <w:tcBorders>
              <w:top w:val="single" w:sz="4" w:space="0" w:color="000000"/>
              <w:left w:val="single" w:sz="8" w:space="0" w:color="000000"/>
              <w:bottom w:val="single" w:sz="4" w:space="0" w:color="000000"/>
              <w:right w:val="single" w:sz="8" w:space="0" w:color="auto"/>
            </w:tcBorders>
            <w:shd w:val="clear" w:color="auto" w:fill="auto"/>
            <w:vAlign w:val="center"/>
          </w:tcPr>
          <w:p w14:paraId="58F1E6F1" w14:textId="4569F2C4" w:rsidR="0071795E" w:rsidRPr="00BB0086" w:rsidRDefault="0071795E" w:rsidP="00495212">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August</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5335932D" w14:textId="0CB7C7E9" w:rsidR="0071795E" w:rsidRPr="00BB0086" w:rsidRDefault="0071795E" w:rsidP="0071795E">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12%</w:t>
            </w:r>
          </w:p>
        </w:tc>
      </w:tr>
      <w:tr w:rsidR="0071795E" w:rsidRPr="00BB0086" w14:paraId="2FEED57E" w14:textId="77777777" w:rsidTr="0071795E">
        <w:trPr>
          <w:jc w:val="center"/>
        </w:trPr>
        <w:tc>
          <w:tcPr>
            <w:tcW w:w="1350" w:type="dxa"/>
            <w:tcBorders>
              <w:top w:val="single" w:sz="4" w:space="0" w:color="000000"/>
              <w:left w:val="single" w:sz="12" w:space="0" w:color="000000"/>
              <w:bottom w:val="single" w:sz="4" w:space="0" w:color="000000"/>
              <w:right w:val="single" w:sz="8" w:space="0" w:color="auto"/>
            </w:tcBorders>
            <w:vAlign w:val="center"/>
          </w:tcPr>
          <w:p w14:paraId="0CFB1F5E" w14:textId="43C65DD2" w:rsidR="0071795E" w:rsidRPr="00BB0086" w:rsidRDefault="0071795E"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March</w:t>
            </w:r>
          </w:p>
        </w:tc>
        <w:tc>
          <w:tcPr>
            <w:tcW w:w="1005" w:type="dxa"/>
            <w:tcBorders>
              <w:top w:val="single" w:sz="4" w:space="0" w:color="000000"/>
              <w:left w:val="single" w:sz="8" w:space="0" w:color="auto"/>
              <w:bottom w:val="single" w:sz="4" w:space="0" w:color="000000"/>
              <w:right w:val="single" w:sz="18" w:space="0" w:color="000000"/>
            </w:tcBorders>
            <w:vAlign w:val="center"/>
          </w:tcPr>
          <w:p w14:paraId="18EF1684" w14:textId="19E7FC5D" w:rsidR="0071795E" w:rsidRPr="00BB0086" w:rsidRDefault="0071795E" w:rsidP="0071795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9%</w:t>
            </w:r>
          </w:p>
        </w:tc>
        <w:tc>
          <w:tcPr>
            <w:tcW w:w="1320" w:type="dxa"/>
            <w:tcBorders>
              <w:top w:val="single" w:sz="4" w:space="0" w:color="000000"/>
              <w:left w:val="single" w:sz="8" w:space="0" w:color="000000"/>
              <w:bottom w:val="single" w:sz="4" w:space="0" w:color="000000"/>
              <w:right w:val="single" w:sz="8" w:space="0" w:color="auto"/>
            </w:tcBorders>
            <w:shd w:val="clear" w:color="auto" w:fill="auto"/>
            <w:vAlign w:val="center"/>
          </w:tcPr>
          <w:p w14:paraId="273F96BA" w14:textId="66C28357" w:rsidR="0071795E" w:rsidRPr="00BB0086" w:rsidRDefault="0071795E" w:rsidP="00495212">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September</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4D863011" w14:textId="545BF9EB" w:rsidR="0071795E" w:rsidRPr="00BB0086" w:rsidRDefault="0071795E" w:rsidP="0071795E">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9%</w:t>
            </w:r>
          </w:p>
        </w:tc>
      </w:tr>
      <w:tr w:rsidR="0071795E" w:rsidRPr="00BB0086" w14:paraId="3C4C6B6F" w14:textId="77777777" w:rsidTr="0071795E">
        <w:trPr>
          <w:jc w:val="center"/>
        </w:trPr>
        <w:tc>
          <w:tcPr>
            <w:tcW w:w="1350" w:type="dxa"/>
            <w:tcBorders>
              <w:top w:val="single" w:sz="4" w:space="0" w:color="000000"/>
              <w:left w:val="single" w:sz="12" w:space="0" w:color="000000"/>
              <w:bottom w:val="single" w:sz="4" w:space="0" w:color="000000"/>
              <w:right w:val="single" w:sz="8" w:space="0" w:color="auto"/>
            </w:tcBorders>
            <w:shd w:val="clear" w:color="auto" w:fill="auto"/>
            <w:vAlign w:val="center"/>
          </w:tcPr>
          <w:p w14:paraId="6A8D3845" w14:textId="76735F3C" w:rsidR="0071795E" w:rsidRPr="00BB0086" w:rsidRDefault="0071795E"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 xml:space="preserve">April </w:t>
            </w:r>
          </w:p>
        </w:tc>
        <w:tc>
          <w:tcPr>
            <w:tcW w:w="1005" w:type="dxa"/>
            <w:tcBorders>
              <w:top w:val="single" w:sz="4" w:space="0" w:color="000000"/>
              <w:left w:val="single" w:sz="8" w:space="0" w:color="auto"/>
              <w:bottom w:val="single" w:sz="4" w:space="0" w:color="000000"/>
              <w:right w:val="single" w:sz="18" w:space="0" w:color="000000"/>
            </w:tcBorders>
            <w:shd w:val="clear" w:color="auto" w:fill="auto"/>
            <w:vAlign w:val="center"/>
          </w:tcPr>
          <w:p w14:paraId="46B49BDD" w14:textId="43196F04" w:rsidR="0071795E" w:rsidRPr="00BB0086" w:rsidRDefault="0071795E" w:rsidP="0071795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8%</w:t>
            </w:r>
          </w:p>
        </w:tc>
        <w:tc>
          <w:tcPr>
            <w:tcW w:w="1320" w:type="dxa"/>
            <w:tcBorders>
              <w:top w:val="single" w:sz="4" w:space="0" w:color="000000"/>
              <w:left w:val="single" w:sz="8" w:space="0" w:color="000000"/>
              <w:bottom w:val="single" w:sz="4" w:space="0" w:color="000000"/>
              <w:right w:val="single" w:sz="8" w:space="0" w:color="auto"/>
            </w:tcBorders>
            <w:shd w:val="clear" w:color="auto" w:fill="auto"/>
            <w:vAlign w:val="center"/>
          </w:tcPr>
          <w:p w14:paraId="19CC3D3C" w14:textId="2D134B66" w:rsidR="0071795E" w:rsidRPr="00BB0086" w:rsidRDefault="0071795E" w:rsidP="00495212">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October</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4B55F95E" w14:textId="35D38413" w:rsidR="0071795E" w:rsidRPr="00BB0086" w:rsidRDefault="0071795E" w:rsidP="0071795E">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7%</w:t>
            </w:r>
          </w:p>
        </w:tc>
      </w:tr>
      <w:tr w:rsidR="0071795E" w:rsidRPr="00BB0086" w14:paraId="7D8FB92E" w14:textId="77777777" w:rsidTr="0071795E">
        <w:trPr>
          <w:jc w:val="center"/>
        </w:trPr>
        <w:tc>
          <w:tcPr>
            <w:tcW w:w="1350" w:type="dxa"/>
            <w:tcBorders>
              <w:top w:val="single" w:sz="4" w:space="0" w:color="000000"/>
              <w:left w:val="single" w:sz="12" w:space="0" w:color="000000"/>
              <w:bottom w:val="single" w:sz="4" w:space="0" w:color="000000"/>
              <w:right w:val="single" w:sz="8" w:space="0" w:color="auto"/>
            </w:tcBorders>
            <w:shd w:val="clear" w:color="auto" w:fill="auto"/>
            <w:vAlign w:val="center"/>
          </w:tcPr>
          <w:p w14:paraId="5AC24475" w14:textId="37B8CCE0" w:rsidR="0071795E" w:rsidRPr="00BB0086" w:rsidRDefault="0071795E"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May</w:t>
            </w:r>
          </w:p>
        </w:tc>
        <w:tc>
          <w:tcPr>
            <w:tcW w:w="1005" w:type="dxa"/>
            <w:tcBorders>
              <w:top w:val="single" w:sz="4" w:space="0" w:color="000000"/>
              <w:left w:val="single" w:sz="8" w:space="0" w:color="auto"/>
              <w:bottom w:val="single" w:sz="4" w:space="0" w:color="000000"/>
              <w:right w:val="single" w:sz="18" w:space="0" w:color="000000"/>
            </w:tcBorders>
            <w:shd w:val="clear" w:color="auto" w:fill="auto"/>
            <w:vAlign w:val="center"/>
          </w:tcPr>
          <w:p w14:paraId="69C9331D" w14:textId="646331B2" w:rsidR="0071795E" w:rsidRPr="00BB0086" w:rsidRDefault="0071795E" w:rsidP="0071795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10%</w:t>
            </w:r>
          </w:p>
        </w:tc>
        <w:tc>
          <w:tcPr>
            <w:tcW w:w="1320" w:type="dxa"/>
            <w:tcBorders>
              <w:top w:val="single" w:sz="4" w:space="0" w:color="000000"/>
              <w:left w:val="single" w:sz="8" w:space="0" w:color="000000"/>
              <w:bottom w:val="single" w:sz="4" w:space="0" w:color="000000"/>
              <w:right w:val="single" w:sz="8" w:space="0" w:color="auto"/>
            </w:tcBorders>
            <w:shd w:val="clear" w:color="auto" w:fill="auto"/>
            <w:vAlign w:val="center"/>
          </w:tcPr>
          <w:p w14:paraId="66BACDFA" w14:textId="6B7614DB" w:rsidR="0071795E" w:rsidRPr="00BB0086" w:rsidRDefault="0071795E" w:rsidP="00495212">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November</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277CE5FC" w14:textId="3DE4A751" w:rsidR="0071795E" w:rsidRPr="00BB0086" w:rsidRDefault="0071795E" w:rsidP="0071795E">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6%</w:t>
            </w:r>
          </w:p>
        </w:tc>
      </w:tr>
      <w:tr w:rsidR="0071795E" w:rsidRPr="00BB0086" w14:paraId="1B991457" w14:textId="77777777" w:rsidTr="0071795E">
        <w:trPr>
          <w:jc w:val="center"/>
        </w:trPr>
        <w:tc>
          <w:tcPr>
            <w:tcW w:w="1350" w:type="dxa"/>
            <w:tcBorders>
              <w:top w:val="single" w:sz="4" w:space="0" w:color="000000"/>
              <w:left w:val="single" w:sz="12" w:space="0" w:color="000000"/>
              <w:bottom w:val="single" w:sz="12" w:space="0" w:color="000000"/>
              <w:right w:val="single" w:sz="8" w:space="0" w:color="auto"/>
            </w:tcBorders>
            <w:shd w:val="clear" w:color="auto" w:fill="auto"/>
            <w:vAlign w:val="center"/>
          </w:tcPr>
          <w:p w14:paraId="0DC0023D" w14:textId="0B767FD5" w:rsidR="0071795E" w:rsidRPr="00BB0086" w:rsidRDefault="0071795E" w:rsidP="00495212">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June</w:t>
            </w:r>
          </w:p>
        </w:tc>
        <w:tc>
          <w:tcPr>
            <w:tcW w:w="1005" w:type="dxa"/>
            <w:tcBorders>
              <w:top w:val="single" w:sz="4" w:space="0" w:color="000000"/>
              <w:left w:val="single" w:sz="8" w:space="0" w:color="auto"/>
              <w:bottom w:val="single" w:sz="12" w:space="0" w:color="000000"/>
              <w:right w:val="single" w:sz="18" w:space="0" w:color="000000"/>
            </w:tcBorders>
            <w:shd w:val="clear" w:color="auto" w:fill="auto"/>
            <w:vAlign w:val="center"/>
          </w:tcPr>
          <w:p w14:paraId="1A22A0A0" w14:textId="72E522DE" w:rsidR="0071795E" w:rsidRPr="00BB0086" w:rsidRDefault="0071795E" w:rsidP="0071795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13%</w:t>
            </w:r>
          </w:p>
        </w:tc>
        <w:tc>
          <w:tcPr>
            <w:tcW w:w="1320" w:type="dxa"/>
            <w:tcBorders>
              <w:top w:val="single" w:sz="4" w:space="0" w:color="000000"/>
              <w:left w:val="single" w:sz="8" w:space="0" w:color="000000"/>
              <w:bottom w:val="single" w:sz="12" w:space="0" w:color="auto"/>
              <w:right w:val="single" w:sz="8" w:space="0" w:color="auto"/>
            </w:tcBorders>
            <w:vAlign w:val="center"/>
          </w:tcPr>
          <w:p w14:paraId="3D78D206" w14:textId="537C02AD" w:rsidR="0071795E" w:rsidRPr="00BB0086" w:rsidRDefault="0071795E" w:rsidP="00495212">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December</w:t>
            </w:r>
          </w:p>
        </w:tc>
        <w:tc>
          <w:tcPr>
            <w:tcW w:w="990" w:type="dxa"/>
            <w:tcBorders>
              <w:top w:val="single" w:sz="4" w:space="0" w:color="000000"/>
              <w:left w:val="single" w:sz="8" w:space="0" w:color="auto"/>
              <w:bottom w:val="single" w:sz="12" w:space="0" w:color="auto"/>
              <w:right w:val="single" w:sz="12" w:space="0" w:color="000000"/>
            </w:tcBorders>
            <w:vAlign w:val="center"/>
          </w:tcPr>
          <w:p w14:paraId="5F1DF6FC" w14:textId="53D73652" w:rsidR="0071795E" w:rsidRPr="00BB0086" w:rsidRDefault="0071795E" w:rsidP="0071795E">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3%</w:t>
            </w:r>
          </w:p>
        </w:tc>
      </w:tr>
    </w:tbl>
    <w:p w14:paraId="5AAE0B92" w14:textId="46231139" w:rsidR="0071795E" w:rsidRPr="00BB0086" w:rsidRDefault="0071795E" w:rsidP="0071795E">
      <w:pPr>
        <w:tabs>
          <w:tab w:val="left" w:pos="2340"/>
        </w:tabs>
        <w:spacing w:after="0" w:line="240" w:lineRule="auto"/>
        <w:rPr>
          <w:rFonts w:ascii="Verdana" w:hAnsi="Verdana"/>
          <w:sz w:val="16"/>
          <w:szCs w:val="16"/>
        </w:rPr>
      </w:pPr>
      <w:r w:rsidRPr="00BB0086">
        <w:rPr>
          <w:rFonts w:ascii="Verdana" w:hAnsi="Verdana"/>
          <w:sz w:val="20"/>
          <w:szCs w:val="20"/>
        </w:rPr>
        <w:tab/>
      </w:r>
      <w:r w:rsidRPr="00BB0086">
        <w:rPr>
          <w:rFonts w:ascii="Verdana" w:hAnsi="Verdana"/>
          <w:sz w:val="16"/>
          <w:szCs w:val="16"/>
        </w:rPr>
        <w:t>My Moving Reviews, May 2019</w:t>
      </w:r>
    </w:p>
    <w:p w14:paraId="7EE389D8" w14:textId="7A2C2C5C" w:rsidR="0071795E" w:rsidRPr="00BB0086" w:rsidRDefault="0071795E" w:rsidP="00F43643">
      <w:pPr>
        <w:spacing w:after="0" w:line="240" w:lineRule="auto"/>
        <w:contextualSpacing/>
        <w:mirrorIndents/>
        <w:rPr>
          <w:sz w:val="20"/>
          <w:szCs w:val="20"/>
        </w:rPr>
      </w:pPr>
    </w:p>
    <w:p w14:paraId="5D01629F" w14:textId="26DE5DB7" w:rsidR="00F43643" w:rsidRPr="00BB0086" w:rsidRDefault="00F43643" w:rsidP="0071795E">
      <w:pPr>
        <w:spacing w:after="0" w:line="240" w:lineRule="auto"/>
        <w:contextualSpacing/>
        <w:mirrorIndents/>
        <w:jc w:val="center"/>
        <w:rPr>
          <w:b/>
          <w:color w:val="0070C0"/>
          <w:sz w:val="20"/>
          <w:szCs w:val="20"/>
        </w:rPr>
      </w:pPr>
      <w:r w:rsidRPr="00BB0086">
        <w:rPr>
          <w:b/>
          <w:color w:val="0070C0"/>
          <w:sz w:val="20"/>
          <w:szCs w:val="20"/>
        </w:rPr>
        <w:t>The State of Business Data Storage</w:t>
      </w:r>
    </w:p>
    <w:p w14:paraId="193167BF" w14:textId="592BF425" w:rsidR="00F43643" w:rsidRPr="00BB0086" w:rsidRDefault="00F43643" w:rsidP="00F43643">
      <w:pPr>
        <w:spacing w:after="0" w:line="240" w:lineRule="auto"/>
        <w:contextualSpacing/>
        <w:mirrorIndents/>
        <w:rPr>
          <w:sz w:val="20"/>
          <w:szCs w:val="20"/>
        </w:rPr>
      </w:pPr>
    </w:p>
    <w:p w14:paraId="5BC99D04" w14:textId="21ED37B4" w:rsidR="00055281" w:rsidRPr="00BB0086" w:rsidRDefault="00055281" w:rsidP="0071795E">
      <w:pPr>
        <w:pStyle w:val="ListParagraph"/>
        <w:numPr>
          <w:ilvl w:val="0"/>
          <w:numId w:val="5"/>
        </w:numPr>
        <w:spacing w:after="0" w:line="240" w:lineRule="auto"/>
        <w:mirrorIndents/>
        <w:rPr>
          <w:sz w:val="20"/>
          <w:szCs w:val="20"/>
        </w:rPr>
      </w:pPr>
      <w:r w:rsidRPr="00BB0086">
        <w:rPr>
          <w:sz w:val="20"/>
          <w:szCs w:val="20"/>
        </w:rPr>
        <w:t xml:space="preserve">According to Enterprise Storage Forum, 65% of enterprise business’ data is still stored onsite on flash drives, disks and tape and many </w:t>
      </w:r>
      <w:r w:rsidR="002553CD">
        <w:rPr>
          <w:sz w:val="20"/>
          <w:szCs w:val="20"/>
        </w:rPr>
        <w:t xml:space="preserve">businesses </w:t>
      </w:r>
      <w:r w:rsidRPr="00BB0086">
        <w:rPr>
          <w:sz w:val="20"/>
          <w:szCs w:val="20"/>
        </w:rPr>
        <w:t>are still using traditiona</w:t>
      </w:r>
      <w:r w:rsidR="002553CD">
        <w:rPr>
          <w:sz w:val="20"/>
          <w:szCs w:val="20"/>
        </w:rPr>
        <w:t xml:space="preserve">l </w:t>
      </w:r>
      <w:r w:rsidRPr="00BB0086">
        <w:rPr>
          <w:sz w:val="20"/>
          <w:szCs w:val="20"/>
        </w:rPr>
        <w:t>storage facilities/services for their archival tax and other paperwork.</w:t>
      </w:r>
    </w:p>
    <w:p w14:paraId="7C30B02E" w14:textId="77777777" w:rsidR="00055281" w:rsidRPr="00BB0086" w:rsidRDefault="00055281" w:rsidP="00055281">
      <w:pPr>
        <w:pStyle w:val="ListParagraph"/>
        <w:spacing w:after="0" w:line="240" w:lineRule="auto"/>
        <w:mirrorIndents/>
        <w:rPr>
          <w:sz w:val="20"/>
          <w:szCs w:val="20"/>
        </w:rPr>
      </w:pPr>
    </w:p>
    <w:p w14:paraId="06420C0E" w14:textId="78EF6FD2" w:rsidR="0071795E" w:rsidRPr="00BB0086" w:rsidRDefault="00055281" w:rsidP="0071795E">
      <w:pPr>
        <w:pStyle w:val="ListParagraph"/>
        <w:numPr>
          <w:ilvl w:val="0"/>
          <w:numId w:val="5"/>
        </w:numPr>
        <w:spacing w:after="0" w:line="240" w:lineRule="auto"/>
        <w:mirrorIndents/>
        <w:rPr>
          <w:sz w:val="20"/>
          <w:szCs w:val="20"/>
        </w:rPr>
      </w:pPr>
      <w:r w:rsidRPr="00BB0086">
        <w:rPr>
          <w:sz w:val="20"/>
          <w:szCs w:val="20"/>
        </w:rPr>
        <w:t>More businesses are moving their data to the cloud, and the global cloud storage market is forecast to increase from $18.9 billion during 2015 to $112 billion by 2022.</w:t>
      </w:r>
    </w:p>
    <w:p w14:paraId="456D4C5C" w14:textId="0D174183" w:rsidR="0071795E" w:rsidRPr="00BB0086" w:rsidRDefault="0071795E" w:rsidP="00F43643">
      <w:pPr>
        <w:spacing w:after="0" w:line="240" w:lineRule="auto"/>
        <w:contextualSpacing/>
        <w:mirrorIndents/>
        <w:rPr>
          <w:sz w:val="20"/>
          <w:szCs w:val="20"/>
        </w:rPr>
      </w:pPr>
    </w:p>
    <w:p w14:paraId="5038FB22" w14:textId="24E9ACF0" w:rsidR="0071795E" w:rsidRPr="00BB0086" w:rsidRDefault="006D76A5" w:rsidP="00055281">
      <w:pPr>
        <w:pStyle w:val="ListParagraph"/>
        <w:numPr>
          <w:ilvl w:val="0"/>
          <w:numId w:val="5"/>
        </w:numPr>
        <w:spacing w:after="0" w:line="240" w:lineRule="auto"/>
        <w:mirrorIndents/>
        <w:rPr>
          <w:sz w:val="20"/>
          <w:szCs w:val="20"/>
        </w:rPr>
      </w:pPr>
      <w:r w:rsidRPr="00BB0086">
        <w:rPr>
          <w:sz w:val="20"/>
          <w:szCs w:val="20"/>
        </w:rPr>
        <w:t>Of the businesses participating in t</w:t>
      </w:r>
      <w:r w:rsidR="00055281" w:rsidRPr="00BB0086">
        <w:rPr>
          <w:sz w:val="20"/>
          <w:szCs w:val="20"/>
        </w:rPr>
        <w:t>he Data Storage Trends 2018 survey</w:t>
      </w:r>
      <w:r w:rsidRPr="00BB0086">
        <w:rPr>
          <w:sz w:val="20"/>
          <w:szCs w:val="20"/>
        </w:rPr>
        <w:t>,</w:t>
      </w:r>
      <w:r w:rsidR="00055281" w:rsidRPr="00BB0086">
        <w:rPr>
          <w:sz w:val="20"/>
          <w:szCs w:val="20"/>
        </w:rPr>
        <w:t xml:space="preserve"> </w:t>
      </w:r>
      <w:r w:rsidRPr="00BB0086">
        <w:rPr>
          <w:sz w:val="20"/>
          <w:szCs w:val="20"/>
        </w:rPr>
        <w:t>48% said their data storage had increased</w:t>
      </w:r>
      <w:r w:rsidR="00055281" w:rsidRPr="00BB0086">
        <w:rPr>
          <w:sz w:val="20"/>
          <w:szCs w:val="20"/>
        </w:rPr>
        <w:t xml:space="preserve"> 1TB</w:t>
      </w:r>
      <w:r w:rsidR="00055281" w:rsidRPr="00BB0086">
        <w:rPr>
          <w:rFonts w:ascii="Verdana" w:hAnsi="Verdana"/>
          <w:sz w:val="20"/>
          <w:szCs w:val="20"/>
        </w:rPr>
        <w:t>–</w:t>
      </w:r>
      <w:r w:rsidR="00055281" w:rsidRPr="00BB0086">
        <w:rPr>
          <w:sz w:val="20"/>
          <w:szCs w:val="20"/>
        </w:rPr>
        <w:t xml:space="preserve">99TB </w:t>
      </w:r>
      <w:r w:rsidRPr="00BB0086">
        <w:rPr>
          <w:sz w:val="20"/>
          <w:szCs w:val="20"/>
        </w:rPr>
        <w:t>during the past 2 years, and 42% expect their data storage to increase within the same range during the next 2 years.</w:t>
      </w:r>
    </w:p>
    <w:p w14:paraId="6C3835FD" w14:textId="437C2678" w:rsidR="0071795E" w:rsidRPr="00BB0086" w:rsidRDefault="0071795E" w:rsidP="00F43643">
      <w:pPr>
        <w:spacing w:after="0" w:line="240" w:lineRule="auto"/>
        <w:contextualSpacing/>
        <w:mirrorIndents/>
        <w:rPr>
          <w:sz w:val="20"/>
          <w:szCs w:val="20"/>
        </w:rPr>
      </w:pPr>
    </w:p>
    <w:p w14:paraId="4B85FD94" w14:textId="77777777" w:rsidR="006D76A5" w:rsidRPr="00BB0086" w:rsidRDefault="006D76A5" w:rsidP="006D76A5">
      <w:pPr>
        <w:pStyle w:val="Header"/>
        <w:jc w:val="center"/>
        <w:rPr>
          <w:rFonts w:ascii="Verdana" w:hAnsi="Verdana"/>
          <w:b/>
          <w:sz w:val="20"/>
          <w:szCs w:val="20"/>
        </w:rPr>
      </w:pPr>
      <w:r w:rsidRPr="00BB0086">
        <w:rPr>
          <w:rFonts w:ascii="Verdana" w:hAnsi="Verdana"/>
          <w:b/>
          <w:sz w:val="20"/>
          <w:szCs w:val="20"/>
        </w:rPr>
        <w:t xml:space="preserve">Storage Technologies Businesses Are Seriously </w:t>
      </w:r>
    </w:p>
    <w:p w14:paraId="0FD97E52" w14:textId="16D02E1E" w:rsidR="006D76A5" w:rsidRPr="00BB0086" w:rsidRDefault="006D76A5" w:rsidP="006D76A5">
      <w:pPr>
        <w:pStyle w:val="Header"/>
        <w:jc w:val="center"/>
        <w:rPr>
          <w:rFonts w:ascii="Verdana" w:hAnsi="Verdana"/>
          <w:b/>
          <w:sz w:val="20"/>
          <w:szCs w:val="20"/>
        </w:rPr>
      </w:pPr>
      <w:r w:rsidRPr="00BB0086">
        <w:rPr>
          <w:rFonts w:ascii="Verdana" w:hAnsi="Verdana"/>
          <w:b/>
          <w:sz w:val="20"/>
          <w:szCs w:val="20"/>
        </w:rPr>
        <w:t>Considering Purchasing During the Next 2 Years, 2018</w:t>
      </w:r>
    </w:p>
    <w:tbl>
      <w:tblPr>
        <w:tblW w:w="8820" w:type="dxa"/>
        <w:jc w:val="center"/>
        <w:tblBorders>
          <w:left w:val="single" w:sz="8" w:space="0" w:color="000000"/>
          <w:right w:val="single" w:sz="8" w:space="0" w:color="000000"/>
        </w:tblBorders>
        <w:tblLayout w:type="fixed"/>
        <w:tblLook w:val="0000" w:firstRow="0" w:lastRow="0" w:firstColumn="0" w:lastColumn="0" w:noHBand="0" w:noVBand="0"/>
      </w:tblPr>
      <w:tblGrid>
        <w:gridCol w:w="3390"/>
        <w:gridCol w:w="1005"/>
        <w:gridCol w:w="3435"/>
        <w:gridCol w:w="990"/>
      </w:tblGrid>
      <w:tr w:rsidR="006D76A5" w:rsidRPr="00BB0086" w14:paraId="0E68B8F9" w14:textId="77777777" w:rsidTr="006D76A5">
        <w:trPr>
          <w:jc w:val="center"/>
        </w:trPr>
        <w:tc>
          <w:tcPr>
            <w:tcW w:w="3390" w:type="dxa"/>
            <w:tcBorders>
              <w:top w:val="single" w:sz="12" w:space="0" w:color="auto"/>
              <w:left w:val="single" w:sz="12" w:space="0" w:color="000000"/>
              <w:bottom w:val="single" w:sz="18" w:space="0" w:color="auto"/>
              <w:right w:val="single" w:sz="8" w:space="0" w:color="auto"/>
            </w:tcBorders>
            <w:vAlign w:val="center"/>
          </w:tcPr>
          <w:p w14:paraId="25CFDA92" w14:textId="60E61EF3" w:rsidR="006D76A5" w:rsidRPr="00BB0086" w:rsidRDefault="006D76A5" w:rsidP="006D76A5">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Technology</w:t>
            </w:r>
          </w:p>
        </w:tc>
        <w:tc>
          <w:tcPr>
            <w:tcW w:w="1005" w:type="dxa"/>
            <w:tcBorders>
              <w:top w:val="single" w:sz="12" w:space="0" w:color="auto"/>
              <w:left w:val="single" w:sz="8" w:space="0" w:color="auto"/>
              <w:bottom w:val="single" w:sz="18" w:space="0" w:color="auto"/>
              <w:right w:val="single" w:sz="18" w:space="0" w:color="000000"/>
            </w:tcBorders>
            <w:vAlign w:val="center"/>
          </w:tcPr>
          <w:p w14:paraId="3200D128" w14:textId="2A2C3BF2" w:rsidR="006D76A5" w:rsidRPr="00BB0086" w:rsidRDefault="006D76A5" w:rsidP="006D76A5">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Percent</w:t>
            </w:r>
          </w:p>
        </w:tc>
        <w:tc>
          <w:tcPr>
            <w:tcW w:w="3435" w:type="dxa"/>
            <w:tcBorders>
              <w:top w:val="single" w:sz="12" w:space="0" w:color="auto"/>
              <w:left w:val="single" w:sz="8" w:space="0" w:color="000000"/>
              <w:bottom w:val="single" w:sz="18" w:space="0" w:color="auto"/>
              <w:right w:val="single" w:sz="8" w:space="0" w:color="auto"/>
            </w:tcBorders>
            <w:vAlign w:val="center"/>
          </w:tcPr>
          <w:p w14:paraId="6464B542" w14:textId="40373FD7" w:rsidR="006D76A5" w:rsidRPr="00BB0086" w:rsidRDefault="006D76A5" w:rsidP="006D76A5">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BB0086">
              <w:rPr>
                <w:rFonts w:ascii="Verdana" w:eastAsia="Times New Roman" w:hAnsi="Verdana"/>
                <w:sz w:val="20"/>
                <w:szCs w:val="20"/>
              </w:rPr>
              <w:t>Technology</w:t>
            </w:r>
          </w:p>
        </w:tc>
        <w:tc>
          <w:tcPr>
            <w:tcW w:w="990" w:type="dxa"/>
            <w:tcBorders>
              <w:top w:val="single" w:sz="12" w:space="0" w:color="auto"/>
              <w:left w:val="single" w:sz="8" w:space="0" w:color="auto"/>
              <w:bottom w:val="single" w:sz="18" w:space="0" w:color="auto"/>
              <w:right w:val="single" w:sz="12" w:space="0" w:color="000000"/>
            </w:tcBorders>
            <w:vAlign w:val="center"/>
          </w:tcPr>
          <w:p w14:paraId="068A9AFE" w14:textId="686827B7"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center"/>
              <w:rPr>
                <w:rFonts w:ascii="Verdana" w:eastAsia="Times New Roman" w:hAnsi="Verdana"/>
                <w:sz w:val="20"/>
                <w:szCs w:val="20"/>
              </w:rPr>
            </w:pPr>
            <w:r w:rsidRPr="00BB0086">
              <w:rPr>
                <w:rFonts w:ascii="Verdana" w:eastAsia="Times New Roman" w:hAnsi="Verdana"/>
                <w:sz w:val="20"/>
                <w:szCs w:val="20"/>
              </w:rPr>
              <w:t>Percent</w:t>
            </w:r>
          </w:p>
        </w:tc>
      </w:tr>
      <w:tr w:rsidR="006D76A5" w:rsidRPr="00BB0086" w14:paraId="0B7274BC" w14:textId="77777777" w:rsidTr="006D76A5">
        <w:trPr>
          <w:jc w:val="center"/>
        </w:trPr>
        <w:tc>
          <w:tcPr>
            <w:tcW w:w="3390" w:type="dxa"/>
            <w:tcBorders>
              <w:top w:val="single" w:sz="18" w:space="0" w:color="auto"/>
              <w:left w:val="single" w:sz="12" w:space="0" w:color="000000"/>
              <w:bottom w:val="single" w:sz="4" w:space="0" w:color="000000"/>
              <w:right w:val="single" w:sz="8" w:space="0" w:color="auto"/>
            </w:tcBorders>
            <w:vAlign w:val="center"/>
          </w:tcPr>
          <w:p w14:paraId="628CF2DC" w14:textId="79AE905F" w:rsidR="006D76A5" w:rsidRPr="00BB0086" w:rsidRDefault="006D76A5" w:rsidP="006D76A5">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Cloud storage</w:t>
            </w:r>
          </w:p>
        </w:tc>
        <w:tc>
          <w:tcPr>
            <w:tcW w:w="1005" w:type="dxa"/>
            <w:tcBorders>
              <w:top w:val="single" w:sz="18" w:space="0" w:color="auto"/>
              <w:left w:val="single" w:sz="8" w:space="0" w:color="auto"/>
              <w:bottom w:val="single" w:sz="4" w:space="0" w:color="000000"/>
              <w:right w:val="single" w:sz="18" w:space="0" w:color="000000"/>
            </w:tcBorders>
            <w:vAlign w:val="center"/>
          </w:tcPr>
          <w:p w14:paraId="544DC9EC" w14:textId="16E144AB" w:rsidR="006D76A5" w:rsidRPr="00BB0086" w:rsidRDefault="006D76A5" w:rsidP="006D76A5">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50%</w:t>
            </w:r>
          </w:p>
        </w:tc>
        <w:tc>
          <w:tcPr>
            <w:tcW w:w="3435" w:type="dxa"/>
            <w:tcBorders>
              <w:top w:val="single" w:sz="18" w:space="0" w:color="auto"/>
              <w:left w:val="single" w:sz="8" w:space="0" w:color="000000"/>
              <w:bottom w:val="single" w:sz="4" w:space="0" w:color="000000"/>
              <w:right w:val="single" w:sz="8" w:space="0" w:color="auto"/>
            </w:tcBorders>
            <w:shd w:val="clear" w:color="auto" w:fill="auto"/>
            <w:vAlign w:val="center"/>
          </w:tcPr>
          <w:p w14:paraId="47484112" w14:textId="7FAFD1E2"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NAS</w:t>
            </w:r>
          </w:p>
        </w:tc>
        <w:tc>
          <w:tcPr>
            <w:tcW w:w="990" w:type="dxa"/>
            <w:tcBorders>
              <w:top w:val="single" w:sz="18" w:space="0" w:color="auto"/>
              <w:left w:val="single" w:sz="8" w:space="0" w:color="auto"/>
              <w:bottom w:val="single" w:sz="4" w:space="0" w:color="000000"/>
              <w:right w:val="single" w:sz="12" w:space="0" w:color="000000"/>
            </w:tcBorders>
            <w:shd w:val="clear" w:color="auto" w:fill="auto"/>
            <w:vAlign w:val="center"/>
          </w:tcPr>
          <w:p w14:paraId="39F51D51" w14:textId="3B654795"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13%</w:t>
            </w:r>
          </w:p>
        </w:tc>
      </w:tr>
      <w:tr w:rsidR="006D76A5" w:rsidRPr="00BB0086" w14:paraId="69BB09D9" w14:textId="77777777" w:rsidTr="006D76A5">
        <w:trPr>
          <w:jc w:val="center"/>
        </w:trPr>
        <w:tc>
          <w:tcPr>
            <w:tcW w:w="3390" w:type="dxa"/>
            <w:tcBorders>
              <w:top w:val="single" w:sz="4" w:space="0" w:color="000000"/>
              <w:left w:val="single" w:sz="12" w:space="0" w:color="000000"/>
              <w:bottom w:val="single" w:sz="4" w:space="0" w:color="000000"/>
              <w:right w:val="single" w:sz="8" w:space="0" w:color="auto"/>
            </w:tcBorders>
            <w:vAlign w:val="center"/>
          </w:tcPr>
          <w:p w14:paraId="40F50EA3" w14:textId="4EB1338B" w:rsidR="006D76A5" w:rsidRPr="00BB0086" w:rsidRDefault="006D76A5" w:rsidP="006D76A5">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Flash/SSD</w:t>
            </w:r>
          </w:p>
        </w:tc>
        <w:tc>
          <w:tcPr>
            <w:tcW w:w="1005" w:type="dxa"/>
            <w:tcBorders>
              <w:top w:val="single" w:sz="4" w:space="0" w:color="000000"/>
              <w:left w:val="single" w:sz="8" w:space="0" w:color="auto"/>
              <w:bottom w:val="single" w:sz="4" w:space="0" w:color="000000"/>
              <w:right w:val="single" w:sz="18" w:space="0" w:color="000000"/>
            </w:tcBorders>
            <w:vAlign w:val="center"/>
          </w:tcPr>
          <w:p w14:paraId="143F61DA" w14:textId="1FE1A226" w:rsidR="006D76A5" w:rsidRPr="00BB0086" w:rsidRDefault="006D76A5" w:rsidP="006D76A5">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29%</w:t>
            </w:r>
          </w:p>
        </w:tc>
        <w:tc>
          <w:tcPr>
            <w:tcW w:w="3435" w:type="dxa"/>
            <w:tcBorders>
              <w:top w:val="single" w:sz="4" w:space="0" w:color="000000"/>
              <w:left w:val="single" w:sz="8" w:space="0" w:color="000000"/>
              <w:bottom w:val="single" w:sz="4" w:space="0" w:color="000000"/>
              <w:right w:val="single" w:sz="8" w:space="0" w:color="auto"/>
            </w:tcBorders>
            <w:shd w:val="clear" w:color="auto" w:fill="auto"/>
            <w:vAlign w:val="center"/>
          </w:tcPr>
          <w:p w14:paraId="5E99AB7B" w14:textId="407CDD46"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File</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48546BDE" w14:textId="1D4C8D23"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7%</w:t>
            </w:r>
          </w:p>
        </w:tc>
      </w:tr>
      <w:tr w:rsidR="006D76A5" w:rsidRPr="00BB0086" w14:paraId="437F8D4A" w14:textId="77777777" w:rsidTr="006D76A5">
        <w:trPr>
          <w:jc w:val="center"/>
        </w:trPr>
        <w:tc>
          <w:tcPr>
            <w:tcW w:w="3390" w:type="dxa"/>
            <w:tcBorders>
              <w:top w:val="single" w:sz="4" w:space="0" w:color="000000"/>
              <w:left w:val="single" w:sz="12" w:space="0" w:color="000000"/>
              <w:bottom w:val="single" w:sz="4" w:space="0" w:color="000000"/>
              <w:right w:val="single" w:sz="8" w:space="0" w:color="auto"/>
            </w:tcBorders>
            <w:vAlign w:val="center"/>
          </w:tcPr>
          <w:p w14:paraId="4775C0BE" w14:textId="2CAEDBF9" w:rsidR="006D76A5" w:rsidRPr="00BB0086" w:rsidRDefault="006D76A5" w:rsidP="006D76A5">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Disaster recovery</w:t>
            </w:r>
          </w:p>
        </w:tc>
        <w:tc>
          <w:tcPr>
            <w:tcW w:w="1005" w:type="dxa"/>
            <w:tcBorders>
              <w:top w:val="single" w:sz="4" w:space="0" w:color="000000"/>
              <w:left w:val="single" w:sz="8" w:space="0" w:color="auto"/>
              <w:bottom w:val="single" w:sz="4" w:space="0" w:color="000000"/>
              <w:right w:val="single" w:sz="18" w:space="0" w:color="000000"/>
            </w:tcBorders>
            <w:vAlign w:val="center"/>
          </w:tcPr>
          <w:p w14:paraId="0B701CFB" w14:textId="12D15F73" w:rsidR="006D76A5" w:rsidRPr="00BB0086" w:rsidRDefault="006D76A5" w:rsidP="006D76A5">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20%</w:t>
            </w:r>
          </w:p>
        </w:tc>
        <w:tc>
          <w:tcPr>
            <w:tcW w:w="3435" w:type="dxa"/>
            <w:tcBorders>
              <w:top w:val="single" w:sz="4" w:space="0" w:color="000000"/>
              <w:left w:val="single" w:sz="8" w:space="0" w:color="000000"/>
              <w:bottom w:val="single" w:sz="4" w:space="0" w:color="000000"/>
              <w:right w:val="single" w:sz="8" w:space="0" w:color="auto"/>
            </w:tcBorders>
            <w:shd w:val="clear" w:color="auto" w:fill="auto"/>
            <w:vAlign w:val="center"/>
          </w:tcPr>
          <w:p w14:paraId="6714887F" w14:textId="3C32A6AE"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Object</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19C55CA3" w14:textId="42D86634"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4%</w:t>
            </w:r>
          </w:p>
        </w:tc>
      </w:tr>
      <w:tr w:rsidR="006D76A5" w:rsidRPr="00BB0086" w14:paraId="2CEFDBE6" w14:textId="77777777" w:rsidTr="006D76A5">
        <w:trPr>
          <w:jc w:val="center"/>
        </w:trPr>
        <w:tc>
          <w:tcPr>
            <w:tcW w:w="3390" w:type="dxa"/>
            <w:tcBorders>
              <w:top w:val="single" w:sz="4" w:space="0" w:color="000000"/>
              <w:left w:val="single" w:sz="12" w:space="0" w:color="000000"/>
              <w:bottom w:val="single" w:sz="4" w:space="0" w:color="000000"/>
              <w:right w:val="single" w:sz="8" w:space="0" w:color="auto"/>
            </w:tcBorders>
            <w:vAlign w:val="center"/>
          </w:tcPr>
          <w:p w14:paraId="1CB25179" w14:textId="2D96358B" w:rsidR="006D76A5" w:rsidRPr="00BB0086" w:rsidRDefault="006D76A5" w:rsidP="006D76A5">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SAN</w:t>
            </w:r>
          </w:p>
        </w:tc>
        <w:tc>
          <w:tcPr>
            <w:tcW w:w="1005" w:type="dxa"/>
            <w:tcBorders>
              <w:top w:val="single" w:sz="4" w:space="0" w:color="000000"/>
              <w:left w:val="single" w:sz="8" w:space="0" w:color="auto"/>
              <w:bottom w:val="single" w:sz="4" w:space="0" w:color="000000"/>
              <w:right w:val="single" w:sz="18" w:space="0" w:color="000000"/>
            </w:tcBorders>
            <w:vAlign w:val="center"/>
          </w:tcPr>
          <w:p w14:paraId="7FEC4CEB" w14:textId="7E43198C" w:rsidR="006D76A5" w:rsidRPr="00BB0086" w:rsidRDefault="006D76A5" w:rsidP="006D76A5">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18%</w:t>
            </w:r>
          </w:p>
        </w:tc>
        <w:tc>
          <w:tcPr>
            <w:tcW w:w="3435" w:type="dxa"/>
            <w:tcBorders>
              <w:top w:val="single" w:sz="4" w:space="0" w:color="000000"/>
              <w:left w:val="single" w:sz="8" w:space="0" w:color="000000"/>
              <w:bottom w:val="single" w:sz="4" w:space="0" w:color="000000"/>
              <w:right w:val="single" w:sz="8" w:space="0" w:color="auto"/>
            </w:tcBorders>
            <w:shd w:val="clear" w:color="auto" w:fill="auto"/>
            <w:vAlign w:val="center"/>
          </w:tcPr>
          <w:p w14:paraId="274FDBE4" w14:textId="18E09D3B"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Block</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3DB391DF" w14:textId="25B18D13"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4%</w:t>
            </w:r>
          </w:p>
        </w:tc>
      </w:tr>
      <w:tr w:rsidR="006D76A5" w:rsidRPr="00BB0086" w14:paraId="5A43481E" w14:textId="77777777" w:rsidTr="006D76A5">
        <w:trPr>
          <w:jc w:val="center"/>
        </w:trPr>
        <w:tc>
          <w:tcPr>
            <w:tcW w:w="3390" w:type="dxa"/>
            <w:tcBorders>
              <w:top w:val="single" w:sz="4" w:space="0" w:color="000000"/>
              <w:left w:val="single" w:sz="12" w:space="0" w:color="000000"/>
              <w:bottom w:val="single" w:sz="4" w:space="0" w:color="000000"/>
              <w:right w:val="single" w:sz="8" w:space="0" w:color="auto"/>
            </w:tcBorders>
            <w:shd w:val="clear" w:color="auto" w:fill="auto"/>
            <w:vAlign w:val="center"/>
          </w:tcPr>
          <w:p w14:paraId="0F5C32F1" w14:textId="2A7929C3" w:rsidR="006D76A5" w:rsidRPr="00BB0086" w:rsidRDefault="006D76A5" w:rsidP="006D76A5">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Software-defined storage</w:t>
            </w:r>
          </w:p>
        </w:tc>
        <w:tc>
          <w:tcPr>
            <w:tcW w:w="1005" w:type="dxa"/>
            <w:tcBorders>
              <w:top w:val="single" w:sz="4" w:space="0" w:color="000000"/>
              <w:left w:val="single" w:sz="8" w:space="0" w:color="auto"/>
              <w:bottom w:val="single" w:sz="4" w:space="0" w:color="000000"/>
              <w:right w:val="single" w:sz="18" w:space="0" w:color="000000"/>
            </w:tcBorders>
            <w:shd w:val="clear" w:color="auto" w:fill="auto"/>
            <w:vAlign w:val="center"/>
          </w:tcPr>
          <w:p w14:paraId="5F1AFFF8" w14:textId="3426FCEA" w:rsidR="006D76A5" w:rsidRPr="00BB0086" w:rsidRDefault="006D76A5" w:rsidP="006D76A5">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18%</w:t>
            </w:r>
          </w:p>
        </w:tc>
        <w:tc>
          <w:tcPr>
            <w:tcW w:w="3435" w:type="dxa"/>
            <w:tcBorders>
              <w:top w:val="single" w:sz="4" w:space="0" w:color="000000"/>
              <w:left w:val="single" w:sz="8" w:space="0" w:color="000000"/>
              <w:bottom w:val="single" w:sz="4" w:space="0" w:color="000000"/>
              <w:right w:val="single" w:sz="8" w:space="0" w:color="auto"/>
            </w:tcBorders>
            <w:shd w:val="clear" w:color="auto" w:fill="auto"/>
            <w:vAlign w:val="center"/>
          </w:tcPr>
          <w:p w14:paraId="29DAC4AE" w14:textId="7F7B9405"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Tape</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48B81D27" w14:textId="3C21EB2E"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3%</w:t>
            </w:r>
          </w:p>
        </w:tc>
      </w:tr>
      <w:tr w:rsidR="006D76A5" w:rsidRPr="00BB0086" w14:paraId="6832CA7B" w14:textId="77777777" w:rsidTr="006D76A5">
        <w:trPr>
          <w:jc w:val="center"/>
        </w:trPr>
        <w:tc>
          <w:tcPr>
            <w:tcW w:w="3390" w:type="dxa"/>
            <w:tcBorders>
              <w:top w:val="single" w:sz="4" w:space="0" w:color="000000"/>
              <w:left w:val="single" w:sz="12" w:space="0" w:color="000000"/>
              <w:bottom w:val="single" w:sz="4" w:space="0" w:color="000000"/>
              <w:right w:val="single" w:sz="8" w:space="0" w:color="auto"/>
            </w:tcBorders>
            <w:shd w:val="clear" w:color="auto" w:fill="auto"/>
            <w:vAlign w:val="center"/>
          </w:tcPr>
          <w:p w14:paraId="623296C4" w14:textId="65C75CDE" w:rsidR="006D76A5" w:rsidRPr="00BB0086" w:rsidRDefault="006D76A5" w:rsidP="006D76A5">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HDD</w:t>
            </w:r>
          </w:p>
        </w:tc>
        <w:tc>
          <w:tcPr>
            <w:tcW w:w="1005" w:type="dxa"/>
            <w:tcBorders>
              <w:top w:val="single" w:sz="4" w:space="0" w:color="000000"/>
              <w:left w:val="single" w:sz="8" w:space="0" w:color="auto"/>
              <w:bottom w:val="single" w:sz="4" w:space="0" w:color="000000"/>
              <w:right w:val="single" w:sz="18" w:space="0" w:color="000000"/>
            </w:tcBorders>
            <w:shd w:val="clear" w:color="auto" w:fill="auto"/>
            <w:vAlign w:val="center"/>
          </w:tcPr>
          <w:p w14:paraId="49CEBE4F" w14:textId="5778EF2B" w:rsidR="006D76A5" w:rsidRPr="00BB0086" w:rsidRDefault="006D76A5" w:rsidP="006D76A5">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17%</w:t>
            </w:r>
          </w:p>
        </w:tc>
        <w:tc>
          <w:tcPr>
            <w:tcW w:w="3435" w:type="dxa"/>
            <w:tcBorders>
              <w:top w:val="single" w:sz="4" w:space="0" w:color="000000"/>
              <w:left w:val="single" w:sz="8" w:space="0" w:color="000000"/>
              <w:bottom w:val="single" w:sz="4" w:space="0" w:color="000000"/>
              <w:right w:val="single" w:sz="8" w:space="0" w:color="auto"/>
            </w:tcBorders>
            <w:shd w:val="clear" w:color="auto" w:fill="auto"/>
            <w:vAlign w:val="center"/>
          </w:tcPr>
          <w:p w14:paraId="1B67C620" w14:textId="137D28E7"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r w:rsidRPr="00BB0086">
              <w:rPr>
                <w:rFonts w:ascii="Verdana" w:eastAsia="Times New Roman" w:hAnsi="Verdana"/>
                <w:sz w:val="20"/>
                <w:szCs w:val="20"/>
              </w:rPr>
              <w:t>No purchases being considered</w:t>
            </w:r>
          </w:p>
        </w:tc>
        <w:tc>
          <w:tcPr>
            <w:tcW w:w="990" w:type="dxa"/>
            <w:tcBorders>
              <w:top w:val="single" w:sz="4" w:space="0" w:color="000000"/>
              <w:left w:val="single" w:sz="8" w:space="0" w:color="auto"/>
              <w:bottom w:val="single" w:sz="4" w:space="0" w:color="000000"/>
              <w:right w:val="single" w:sz="12" w:space="0" w:color="000000"/>
            </w:tcBorders>
            <w:shd w:val="clear" w:color="auto" w:fill="auto"/>
            <w:vAlign w:val="center"/>
          </w:tcPr>
          <w:p w14:paraId="772882E7" w14:textId="5C78BAAB"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sidRPr="00BB0086">
              <w:rPr>
                <w:rFonts w:ascii="Verdana" w:eastAsia="Times New Roman" w:hAnsi="Verdana"/>
                <w:sz w:val="20"/>
                <w:szCs w:val="20"/>
              </w:rPr>
              <w:t>20%</w:t>
            </w:r>
          </w:p>
        </w:tc>
      </w:tr>
      <w:tr w:rsidR="006D76A5" w:rsidRPr="00BB0086" w14:paraId="7D241419" w14:textId="77777777" w:rsidTr="006D76A5">
        <w:trPr>
          <w:jc w:val="center"/>
        </w:trPr>
        <w:tc>
          <w:tcPr>
            <w:tcW w:w="3390" w:type="dxa"/>
            <w:tcBorders>
              <w:top w:val="single" w:sz="4" w:space="0" w:color="000000"/>
              <w:left w:val="single" w:sz="12" w:space="0" w:color="000000"/>
              <w:bottom w:val="single" w:sz="12" w:space="0" w:color="000000"/>
              <w:right w:val="single" w:sz="8" w:space="0" w:color="auto"/>
            </w:tcBorders>
            <w:shd w:val="clear" w:color="auto" w:fill="auto"/>
            <w:vAlign w:val="center"/>
          </w:tcPr>
          <w:p w14:paraId="7F8EC68B" w14:textId="3CAD1948" w:rsidR="006D76A5" w:rsidRPr="00BB0086" w:rsidRDefault="006D76A5" w:rsidP="006D76A5">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BB0086">
              <w:rPr>
                <w:rFonts w:ascii="Verdana" w:eastAsia="Times New Roman" w:hAnsi="Verdana"/>
                <w:sz w:val="20"/>
                <w:szCs w:val="20"/>
              </w:rPr>
              <w:t>Converged/Hyper-converged</w:t>
            </w:r>
          </w:p>
        </w:tc>
        <w:tc>
          <w:tcPr>
            <w:tcW w:w="1005" w:type="dxa"/>
            <w:tcBorders>
              <w:top w:val="single" w:sz="4" w:space="0" w:color="000000"/>
              <w:left w:val="single" w:sz="8" w:space="0" w:color="auto"/>
              <w:bottom w:val="single" w:sz="12" w:space="0" w:color="000000"/>
              <w:right w:val="single" w:sz="18" w:space="0" w:color="000000"/>
            </w:tcBorders>
            <w:shd w:val="clear" w:color="auto" w:fill="auto"/>
            <w:vAlign w:val="center"/>
          </w:tcPr>
          <w:p w14:paraId="2363B7FC" w14:textId="7340DDA4" w:rsidR="006D76A5" w:rsidRPr="00BB0086" w:rsidRDefault="006D76A5" w:rsidP="006D76A5">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sidRPr="00BB0086">
              <w:rPr>
                <w:rFonts w:ascii="Verdana" w:eastAsia="Times New Roman" w:hAnsi="Verdana"/>
                <w:sz w:val="20"/>
                <w:szCs w:val="20"/>
              </w:rPr>
              <w:t>14%</w:t>
            </w:r>
          </w:p>
        </w:tc>
        <w:tc>
          <w:tcPr>
            <w:tcW w:w="3435" w:type="dxa"/>
            <w:tcBorders>
              <w:top w:val="single" w:sz="4" w:space="0" w:color="000000"/>
              <w:left w:val="single" w:sz="8" w:space="0" w:color="000000"/>
              <w:bottom w:val="single" w:sz="12" w:space="0" w:color="auto"/>
              <w:right w:val="single" w:sz="8" w:space="0" w:color="auto"/>
            </w:tcBorders>
            <w:shd w:val="clear" w:color="auto" w:fill="D9D9D9" w:themeFill="background1" w:themeFillShade="D9"/>
            <w:vAlign w:val="center"/>
          </w:tcPr>
          <w:p w14:paraId="43961131" w14:textId="7C48275D"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rPr>
                <w:rFonts w:ascii="Verdana" w:eastAsia="Times New Roman" w:hAnsi="Verdana"/>
                <w:sz w:val="20"/>
                <w:szCs w:val="20"/>
              </w:rPr>
            </w:pPr>
          </w:p>
        </w:tc>
        <w:tc>
          <w:tcPr>
            <w:tcW w:w="990" w:type="dxa"/>
            <w:tcBorders>
              <w:top w:val="single" w:sz="4" w:space="0" w:color="000000"/>
              <w:left w:val="single" w:sz="8" w:space="0" w:color="auto"/>
              <w:bottom w:val="single" w:sz="12" w:space="0" w:color="auto"/>
              <w:right w:val="single" w:sz="12" w:space="0" w:color="000000"/>
            </w:tcBorders>
            <w:shd w:val="clear" w:color="auto" w:fill="D9D9D9" w:themeFill="background1" w:themeFillShade="D9"/>
            <w:vAlign w:val="center"/>
          </w:tcPr>
          <w:p w14:paraId="6F1E6C0D" w14:textId="2BD09731" w:rsidR="006D76A5" w:rsidRPr="00BB0086" w:rsidRDefault="006D76A5" w:rsidP="006D76A5">
            <w:pPr>
              <w:widowControl w:val="0"/>
              <w:numPr>
                <w:ilvl w:val="0"/>
                <w:numId w:val="2"/>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p>
        </w:tc>
      </w:tr>
    </w:tbl>
    <w:p w14:paraId="6C23FA24" w14:textId="0F3B5936" w:rsidR="006D76A5" w:rsidRPr="00BB0086" w:rsidRDefault="006D76A5" w:rsidP="006D76A5">
      <w:pPr>
        <w:tabs>
          <w:tab w:val="left" w:pos="270"/>
        </w:tabs>
        <w:spacing w:after="0" w:line="240" w:lineRule="auto"/>
        <w:rPr>
          <w:rFonts w:ascii="Verdana" w:hAnsi="Verdana"/>
          <w:sz w:val="16"/>
          <w:szCs w:val="16"/>
        </w:rPr>
      </w:pPr>
      <w:r w:rsidRPr="00BB0086">
        <w:rPr>
          <w:rFonts w:ascii="Verdana" w:hAnsi="Verdana"/>
          <w:sz w:val="20"/>
          <w:szCs w:val="20"/>
        </w:rPr>
        <w:tab/>
      </w:r>
      <w:r w:rsidRPr="00BB0086">
        <w:rPr>
          <w:rFonts w:ascii="Verdana" w:hAnsi="Verdana"/>
          <w:sz w:val="16"/>
          <w:szCs w:val="16"/>
        </w:rPr>
        <w:t>Enterprise Storage Forum, August 2018</w:t>
      </w:r>
    </w:p>
    <w:p w14:paraId="0CDC914E" w14:textId="04BF0A4C" w:rsidR="0071795E" w:rsidRPr="00BB0086" w:rsidRDefault="0071795E" w:rsidP="00F43643">
      <w:pPr>
        <w:spacing w:after="0" w:line="240" w:lineRule="auto"/>
        <w:contextualSpacing/>
        <w:mirrorIndents/>
        <w:rPr>
          <w:sz w:val="20"/>
          <w:szCs w:val="20"/>
        </w:rPr>
      </w:pPr>
    </w:p>
    <w:p w14:paraId="65D454F0" w14:textId="0A67B20B" w:rsidR="005F2FD7" w:rsidRPr="00BB0086" w:rsidRDefault="005F2FD7" w:rsidP="006D76A5">
      <w:pPr>
        <w:spacing w:after="0" w:line="240" w:lineRule="auto"/>
        <w:contextualSpacing/>
        <w:mirrorIndents/>
        <w:jc w:val="center"/>
        <w:rPr>
          <w:b/>
          <w:color w:val="0070C0"/>
          <w:sz w:val="20"/>
          <w:szCs w:val="20"/>
        </w:rPr>
      </w:pPr>
      <w:r w:rsidRPr="00BB0086">
        <w:rPr>
          <w:b/>
          <w:color w:val="0070C0"/>
          <w:sz w:val="20"/>
          <w:szCs w:val="20"/>
        </w:rPr>
        <w:lastRenderedPageBreak/>
        <w:t>Job Relocation Still Drives the Moving Industry</w:t>
      </w:r>
    </w:p>
    <w:p w14:paraId="220FFF97" w14:textId="77777777" w:rsidR="005F2FD7" w:rsidRPr="00BB0086" w:rsidRDefault="005F2FD7" w:rsidP="005F2FD7">
      <w:pPr>
        <w:spacing w:after="0" w:line="240" w:lineRule="auto"/>
        <w:contextualSpacing/>
        <w:mirrorIndents/>
        <w:rPr>
          <w:b/>
          <w:sz w:val="20"/>
          <w:szCs w:val="20"/>
        </w:rPr>
      </w:pPr>
    </w:p>
    <w:p w14:paraId="05028080" w14:textId="5D048388" w:rsidR="005F2FD7" w:rsidRPr="00BB0086" w:rsidRDefault="005F2FD7" w:rsidP="005F2FD7">
      <w:pPr>
        <w:pStyle w:val="ListParagraph"/>
        <w:numPr>
          <w:ilvl w:val="0"/>
          <w:numId w:val="7"/>
        </w:numPr>
        <w:spacing w:after="0" w:line="240" w:lineRule="auto"/>
        <w:mirrorIndents/>
        <w:rPr>
          <w:sz w:val="20"/>
          <w:szCs w:val="20"/>
        </w:rPr>
      </w:pPr>
      <w:r w:rsidRPr="00BB0086">
        <w:rPr>
          <w:sz w:val="20"/>
          <w:szCs w:val="20"/>
        </w:rPr>
        <w:t>According to the National Association of REALTORS</w:t>
      </w:r>
      <w:r w:rsidRPr="00BB0086">
        <w:rPr>
          <w:rFonts w:ascii="Verdana" w:hAnsi="Verdana"/>
          <w:sz w:val="20"/>
          <w:szCs w:val="20"/>
          <w:vertAlign w:val="superscript"/>
        </w:rPr>
        <w:t>®</w:t>
      </w:r>
      <w:r w:rsidRPr="00BB0086">
        <w:rPr>
          <w:sz w:val="20"/>
          <w:szCs w:val="20"/>
        </w:rPr>
        <w:t xml:space="preserve">’ 2019 Home Buyer and Seller Generational Trends report, </w:t>
      </w:r>
      <w:r w:rsidR="003966BF" w:rsidRPr="00BB0086">
        <w:rPr>
          <w:sz w:val="20"/>
          <w:szCs w:val="20"/>
        </w:rPr>
        <w:t>12% of all home buyers said a job or career change was the third-largest factor that could cause them to move.</w:t>
      </w:r>
    </w:p>
    <w:p w14:paraId="7B556673" w14:textId="77777777" w:rsidR="005F2FD7" w:rsidRPr="00BB0086" w:rsidRDefault="005F2FD7" w:rsidP="005F2FD7">
      <w:pPr>
        <w:spacing w:after="0" w:line="240" w:lineRule="auto"/>
        <w:contextualSpacing/>
        <w:mirrorIndents/>
        <w:rPr>
          <w:sz w:val="20"/>
          <w:szCs w:val="20"/>
        </w:rPr>
      </w:pPr>
    </w:p>
    <w:p w14:paraId="15644B87" w14:textId="501E47C4" w:rsidR="003966BF" w:rsidRPr="00BB0086" w:rsidRDefault="003966BF" w:rsidP="003966BF">
      <w:pPr>
        <w:pStyle w:val="ListParagraph"/>
        <w:numPr>
          <w:ilvl w:val="0"/>
          <w:numId w:val="7"/>
        </w:numPr>
        <w:spacing w:after="0" w:line="240" w:lineRule="auto"/>
        <w:mirrorIndents/>
        <w:rPr>
          <w:sz w:val="20"/>
          <w:szCs w:val="20"/>
        </w:rPr>
      </w:pPr>
      <w:r w:rsidRPr="00BB0086">
        <w:rPr>
          <w:sz w:val="20"/>
          <w:szCs w:val="20"/>
        </w:rPr>
        <w:t>A much smaller percentage (2%) of all home buyers said they found a real estate agent via a reference from their employer or relocation company.</w:t>
      </w:r>
    </w:p>
    <w:p w14:paraId="492364E3" w14:textId="77777777" w:rsidR="005F2FD7" w:rsidRPr="00BB0086" w:rsidRDefault="005F2FD7" w:rsidP="005F2FD7">
      <w:pPr>
        <w:spacing w:after="0" w:line="240" w:lineRule="auto"/>
        <w:contextualSpacing/>
        <w:mirrorIndents/>
        <w:rPr>
          <w:sz w:val="20"/>
          <w:szCs w:val="20"/>
        </w:rPr>
      </w:pPr>
    </w:p>
    <w:p w14:paraId="23D33DD1" w14:textId="77777777" w:rsidR="003966BF" w:rsidRPr="00BB0086" w:rsidRDefault="003966BF" w:rsidP="003966BF">
      <w:pPr>
        <w:pStyle w:val="Header"/>
        <w:contextualSpacing/>
        <w:jc w:val="center"/>
        <w:rPr>
          <w:rFonts w:ascii="Verdana" w:hAnsi="Verdana"/>
          <w:b/>
          <w:sz w:val="20"/>
          <w:szCs w:val="20"/>
        </w:rPr>
      </w:pPr>
      <w:r w:rsidRPr="00BB0086">
        <w:rPr>
          <w:rFonts w:ascii="Verdana" w:hAnsi="Verdana"/>
          <w:b/>
          <w:sz w:val="20"/>
          <w:szCs w:val="20"/>
        </w:rPr>
        <w:t xml:space="preserve">Job-Related Relocation or Move as a Primary </w:t>
      </w:r>
    </w:p>
    <w:p w14:paraId="7B799DB9" w14:textId="4B269FF4" w:rsidR="003966BF" w:rsidRPr="00BB0086" w:rsidRDefault="003966BF" w:rsidP="003966BF">
      <w:pPr>
        <w:pStyle w:val="Header"/>
        <w:contextualSpacing/>
        <w:jc w:val="center"/>
        <w:rPr>
          <w:rFonts w:ascii="Verdana" w:hAnsi="Verdana"/>
          <w:b/>
          <w:sz w:val="20"/>
          <w:szCs w:val="20"/>
        </w:rPr>
      </w:pPr>
      <w:r w:rsidRPr="00BB0086">
        <w:rPr>
          <w:rFonts w:ascii="Verdana" w:hAnsi="Verdana"/>
          <w:b/>
          <w:sz w:val="20"/>
          <w:szCs w:val="20"/>
        </w:rPr>
        <w:t>Reason for Buying or Selling a Home, June 2018</w:t>
      </w:r>
    </w:p>
    <w:tbl>
      <w:tblPr>
        <w:tblW w:w="451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280"/>
        <w:gridCol w:w="1117"/>
        <w:gridCol w:w="1118"/>
      </w:tblGrid>
      <w:tr w:rsidR="003966BF" w:rsidRPr="00BB0086" w14:paraId="684FD66F" w14:textId="77777777" w:rsidTr="003966BF">
        <w:trPr>
          <w:jc w:val="center"/>
        </w:trPr>
        <w:tc>
          <w:tcPr>
            <w:tcW w:w="2280" w:type="dxa"/>
            <w:tcBorders>
              <w:top w:val="single" w:sz="12" w:space="0" w:color="000000"/>
              <w:left w:val="single" w:sz="12" w:space="0" w:color="000000"/>
              <w:bottom w:val="single" w:sz="18" w:space="0" w:color="000000"/>
              <w:right w:val="single" w:sz="8" w:space="0" w:color="000000"/>
            </w:tcBorders>
            <w:vAlign w:val="center"/>
          </w:tcPr>
          <w:p w14:paraId="03A4BE84" w14:textId="7BCB5045" w:rsidR="003966BF" w:rsidRPr="00BB0086" w:rsidRDefault="003966BF" w:rsidP="00495212">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sidRPr="00BB0086">
              <w:rPr>
                <w:rFonts w:ascii="Verdana" w:eastAsia="Times New Roman" w:hAnsi="Verdana"/>
                <w:sz w:val="20"/>
                <w:szCs w:val="20"/>
              </w:rPr>
              <w:t>Age Range</w:t>
            </w:r>
          </w:p>
        </w:tc>
        <w:tc>
          <w:tcPr>
            <w:tcW w:w="1117" w:type="dxa"/>
            <w:tcBorders>
              <w:top w:val="single" w:sz="12" w:space="0" w:color="000000"/>
              <w:left w:val="single" w:sz="18" w:space="0" w:color="000000"/>
              <w:bottom w:val="single" w:sz="18" w:space="0" w:color="000000"/>
              <w:right w:val="single" w:sz="8" w:space="0" w:color="000000"/>
            </w:tcBorders>
            <w:vAlign w:val="center"/>
          </w:tcPr>
          <w:p w14:paraId="08C513E0" w14:textId="67B04C1E" w:rsidR="003966BF" w:rsidRPr="00BB0086" w:rsidRDefault="003966BF" w:rsidP="00495212">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sidRPr="00BB0086">
              <w:rPr>
                <w:rFonts w:ascii="Verdana" w:eastAsia="Times New Roman" w:hAnsi="Verdana"/>
                <w:sz w:val="20"/>
                <w:szCs w:val="20"/>
              </w:rPr>
              <w:t>Buying a Home</w:t>
            </w:r>
          </w:p>
        </w:tc>
        <w:tc>
          <w:tcPr>
            <w:tcW w:w="1118" w:type="dxa"/>
            <w:tcBorders>
              <w:top w:val="single" w:sz="12" w:space="0" w:color="000000"/>
              <w:left w:val="single" w:sz="8" w:space="0" w:color="000000"/>
              <w:bottom w:val="single" w:sz="18" w:space="0" w:color="000000"/>
              <w:right w:val="single" w:sz="12" w:space="0" w:color="000000"/>
            </w:tcBorders>
            <w:vAlign w:val="center"/>
          </w:tcPr>
          <w:p w14:paraId="0B982F00" w14:textId="4F43B2ED" w:rsidR="003966BF" w:rsidRPr="00BB0086" w:rsidRDefault="003966BF" w:rsidP="00495212">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sidRPr="00BB0086">
              <w:rPr>
                <w:rFonts w:ascii="Verdana" w:eastAsia="Times New Roman" w:hAnsi="Verdana"/>
                <w:sz w:val="20"/>
                <w:szCs w:val="20"/>
              </w:rPr>
              <w:t>Selling a Home</w:t>
            </w:r>
          </w:p>
        </w:tc>
      </w:tr>
      <w:tr w:rsidR="003966BF" w:rsidRPr="00BB0086" w14:paraId="22F9F706" w14:textId="77777777" w:rsidTr="003966BF">
        <w:tblPrEx>
          <w:tblBorders>
            <w:top w:val="none" w:sz="0" w:space="0" w:color="auto"/>
          </w:tblBorders>
        </w:tblPrEx>
        <w:trPr>
          <w:jc w:val="center"/>
        </w:trPr>
        <w:tc>
          <w:tcPr>
            <w:tcW w:w="2280" w:type="dxa"/>
            <w:tcBorders>
              <w:top w:val="single" w:sz="18" w:space="0" w:color="000000"/>
              <w:left w:val="single" w:sz="12" w:space="0" w:color="000000"/>
              <w:bottom w:val="single" w:sz="4" w:space="0" w:color="000000"/>
              <w:right w:val="single" w:sz="8" w:space="0" w:color="000000"/>
            </w:tcBorders>
            <w:shd w:val="clear" w:color="auto" w:fill="auto"/>
            <w:vAlign w:val="center"/>
          </w:tcPr>
          <w:p w14:paraId="59E24C72" w14:textId="498789C6" w:rsidR="003966BF" w:rsidRPr="00BB0086" w:rsidRDefault="003966BF" w:rsidP="00495212">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BB0086">
              <w:rPr>
                <w:rFonts w:ascii="Verdana" w:eastAsia="Times New Roman" w:hAnsi="Verdana"/>
                <w:sz w:val="20"/>
                <w:szCs w:val="20"/>
              </w:rPr>
              <w:t>All buyers or sellers</w:t>
            </w:r>
          </w:p>
        </w:tc>
        <w:tc>
          <w:tcPr>
            <w:tcW w:w="1117" w:type="dxa"/>
            <w:tcBorders>
              <w:top w:val="single" w:sz="18" w:space="0" w:color="000000"/>
              <w:left w:val="single" w:sz="18" w:space="0" w:color="000000"/>
              <w:bottom w:val="single" w:sz="4" w:space="0" w:color="000000"/>
              <w:right w:val="single" w:sz="8" w:space="0" w:color="000000"/>
            </w:tcBorders>
            <w:vAlign w:val="center"/>
          </w:tcPr>
          <w:p w14:paraId="3FD8272C" w14:textId="31571A2D"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w:t>
            </w:r>
          </w:p>
        </w:tc>
        <w:tc>
          <w:tcPr>
            <w:tcW w:w="1118" w:type="dxa"/>
            <w:tcBorders>
              <w:top w:val="single" w:sz="18" w:space="0" w:color="000000"/>
              <w:left w:val="single" w:sz="8" w:space="0" w:color="000000"/>
              <w:bottom w:val="single" w:sz="4" w:space="0" w:color="000000"/>
              <w:right w:val="single" w:sz="12" w:space="0" w:color="000000"/>
            </w:tcBorders>
            <w:shd w:val="clear" w:color="auto" w:fill="auto"/>
            <w:vAlign w:val="center"/>
          </w:tcPr>
          <w:p w14:paraId="62639FE5" w14:textId="7BDA04C5"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w:t>
            </w:r>
          </w:p>
        </w:tc>
      </w:tr>
      <w:tr w:rsidR="003966BF" w:rsidRPr="00BB0086" w14:paraId="0AEA8F30" w14:textId="77777777" w:rsidTr="003966BF">
        <w:tblPrEx>
          <w:tblBorders>
            <w:top w:val="none" w:sz="0" w:space="0" w:color="auto"/>
          </w:tblBorders>
        </w:tblPrEx>
        <w:trPr>
          <w:jc w:val="center"/>
        </w:trPr>
        <w:tc>
          <w:tcPr>
            <w:tcW w:w="2280" w:type="dxa"/>
            <w:tcBorders>
              <w:top w:val="single" w:sz="4" w:space="0" w:color="000000"/>
              <w:left w:val="single" w:sz="12" w:space="0" w:color="000000"/>
              <w:bottom w:val="single" w:sz="4" w:space="0" w:color="000000"/>
              <w:right w:val="single" w:sz="8" w:space="0" w:color="000000"/>
            </w:tcBorders>
            <w:vAlign w:val="center"/>
          </w:tcPr>
          <w:p w14:paraId="6A866B0F" w14:textId="0C80A280" w:rsidR="003966BF" w:rsidRPr="00BB0086" w:rsidRDefault="003966BF" w:rsidP="00495212">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BB0086">
              <w:rPr>
                <w:rFonts w:ascii="Verdana" w:eastAsia="Times New Roman" w:hAnsi="Verdana"/>
                <w:sz w:val="20"/>
                <w:szCs w:val="20"/>
              </w:rPr>
              <w:t>28 and younger</w:t>
            </w:r>
          </w:p>
        </w:tc>
        <w:tc>
          <w:tcPr>
            <w:tcW w:w="1117" w:type="dxa"/>
            <w:tcBorders>
              <w:top w:val="single" w:sz="4" w:space="0" w:color="000000"/>
              <w:left w:val="single" w:sz="18" w:space="0" w:color="000000"/>
              <w:bottom w:val="single" w:sz="4" w:space="0" w:color="000000"/>
              <w:right w:val="single" w:sz="8" w:space="0" w:color="000000"/>
            </w:tcBorders>
            <w:vAlign w:val="center"/>
          </w:tcPr>
          <w:p w14:paraId="6362BA16" w14:textId="4763D2A2"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w:t>
            </w:r>
          </w:p>
        </w:tc>
        <w:tc>
          <w:tcPr>
            <w:tcW w:w="1118" w:type="dxa"/>
            <w:tcBorders>
              <w:top w:val="single" w:sz="4" w:space="0" w:color="000000"/>
              <w:left w:val="single" w:sz="8" w:space="0" w:color="000000"/>
              <w:bottom w:val="single" w:sz="4" w:space="0" w:color="000000"/>
              <w:right w:val="single" w:sz="12" w:space="0" w:color="000000"/>
            </w:tcBorders>
            <w:shd w:val="clear" w:color="auto" w:fill="D9D9D9" w:themeFill="background1" w:themeFillShade="D9"/>
            <w:vAlign w:val="center"/>
          </w:tcPr>
          <w:p w14:paraId="5D89CF82" w14:textId="3B4AAE8B"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p>
        </w:tc>
      </w:tr>
      <w:tr w:rsidR="003966BF" w:rsidRPr="00BB0086" w14:paraId="5EE93D01" w14:textId="77777777" w:rsidTr="003966BF">
        <w:tblPrEx>
          <w:tblBorders>
            <w:top w:val="none" w:sz="0" w:space="0" w:color="auto"/>
          </w:tblBorders>
        </w:tblPrEx>
        <w:trPr>
          <w:jc w:val="center"/>
        </w:trPr>
        <w:tc>
          <w:tcPr>
            <w:tcW w:w="2280" w:type="dxa"/>
            <w:tcBorders>
              <w:top w:val="single" w:sz="4" w:space="0" w:color="000000"/>
              <w:left w:val="single" w:sz="12" w:space="0" w:color="000000"/>
              <w:bottom w:val="single" w:sz="4" w:space="0" w:color="000000"/>
              <w:right w:val="single" w:sz="8" w:space="0" w:color="000000"/>
            </w:tcBorders>
            <w:vAlign w:val="center"/>
          </w:tcPr>
          <w:p w14:paraId="6383D98F" w14:textId="6693BD04" w:rsidR="003966BF" w:rsidRPr="00BB0086" w:rsidRDefault="003966BF" w:rsidP="003966B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BB0086">
              <w:rPr>
                <w:rFonts w:ascii="Verdana" w:eastAsia="Times New Roman" w:hAnsi="Verdana"/>
                <w:sz w:val="20"/>
                <w:szCs w:val="20"/>
              </w:rPr>
              <w:t>29–38</w:t>
            </w:r>
          </w:p>
        </w:tc>
        <w:tc>
          <w:tcPr>
            <w:tcW w:w="1117" w:type="dxa"/>
            <w:tcBorders>
              <w:top w:val="single" w:sz="4" w:space="0" w:color="000000"/>
              <w:left w:val="single" w:sz="18" w:space="0" w:color="000000"/>
              <w:bottom w:val="single" w:sz="4" w:space="0" w:color="000000"/>
              <w:right w:val="single" w:sz="8" w:space="0" w:color="000000"/>
            </w:tcBorders>
            <w:vAlign w:val="center"/>
          </w:tcPr>
          <w:p w14:paraId="7263EF31" w14:textId="66AE66E7"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9%</w:t>
            </w:r>
          </w:p>
        </w:tc>
        <w:tc>
          <w:tcPr>
            <w:tcW w:w="111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7EDC27A1" w14:textId="6D221ABE"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19%</w:t>
            </w:r>
          </w:p>
        </w:tc>
      </w:tr>
      <w:tr w:rsidR="003966BF" w:rsidRPr="00BB0086" w14:paraId="697BA9C1" w14:textId="77777777" w:rsidTr="003966BF">
        <w:tblPrEx>
          <w:tblBorders>
            <w:top w:val="none" w:sz="0" w:space="0" w:color="auto"/>
          </w:tblBorders>
        </w:tblPrEx>
        <w:trPr>
          <w:jc w:val="center"/>
        </w:trPr>
        <w:tc>
          <w:tcPr>
            <w:tcW w:w="2280" w:type="dxa"/>
            <w:tcBorders>
              <w:top w:val="single" w:sz="4" w:space="0" w:color="000000"/>
              <w:left w:val="single" w:sz="12" w:space="0" w:color="000000"/>
              <w:bottom w:val="single" w:sz="4" w:space="0" w:color="000000"/>
              <w:right w:val="single" w:sz="8" w:space="0" w:color="000000"/>
            </w:tcBorders>
            <w:vAlign w:val="center"/>
          </w:tcPr>
          <w:p w14:paraId="283239FC" w14:textId="35A6AC12" w:rsidR="003966BF" w:rsidRPr="00BB0086" w:rsidRDefault="003966BF" w:rsidP="003966B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BB0086">
              <w:rPr>
                <w:rFonts w:ascii="Verdana" w:eastAsia="Times New Roman" w:hAnsi="Verdana"/>
                <w:sz w:val="20"/>
                <w:szCs w:val="20"/>
              </w:rPr>
              <w:t>39–53</w:t>
            </w:r>
          </w:p>
        </w:tc>
        <w:tc>
          <w:tcPr>
            <w:tcW w:w="1117" w:type="dxa"/>
            <w:tcBorders>
              <w:top w:val="single" w:sz="4" w:space="0" w:color="000000"/>
              <w:left w:val="single" w:sz="18" w:space="0" w:color="000000"/>
              <w:bottom w:val="single" w:sz="4" w:space="0" w:color="000000"/>
              <w:right w:val="single" w:sz="8" w:space="0" w:color="000000"/>
            </w:tcBorders>
            <w:vAlign w:val="center"/>
          </w:tcPr>
          <w:p w14:paraId="29E745F3" w14:textId="4B387F4D"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w:t>
            </w:r>
          </w:p>
        </w:tc>
        <w:tc>
          <w:tcPr>
            <w:tcW w:w="111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2873471B" w14:textId="73340200"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19%</w:t>
            </w:r>
          </w:p>
        </w:tc>
      </w:tr>
      <w:tr w:rsidR="003966BF" w:rsidRPr="00BB0086" w14:paraId="0A90A194" w14:textId="77777777" w:rsidTr="003966BF">
        <w:tblPrEx>
          <w:tblBorders>
            <w:top w:val="none" w:sz="0" w:space="0" w:color="auto"/>
          </w:tblBorders>
        </w:tblPrEx>
        <w:trPr>
          <w:jc w:val="center"/>
        </w:trPr>
        <w:tc>
          <w:tcPr>
            <w:tcW w:w="2280" w:type="dxa"/>
            <w:tcBorders>
              <w:top w:val="single" w:sz="4" w:space="0" w:color="000000"/>
              <w:left w:val="single" w:sz="12" w:space="0" w:color="000000"/>
              <w:bottom w:val="single" w:sz="4" w:space="0" w:color="000000"/>
              <w:right w:val="single" w:sz="8" w:space="0" w:color="000000"/>
            </w:tcBorders>
            <w:vAlign w:val="center"/>
          </w:tcPr>
          <w:p w14:paraId="34D63065" w14:textId="03E09A91" w:rsidR="003966BF" w:rsidRPr="00BB0086" w:rsidRDefault="003966BF" w:rsidP="003966B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BB0086">
              <w:rPr>
                <w:rFonts w:ascii="Verdana" w:eastAsia="Times New Roman" w:hAnsi="Verdana"/>
                <w:sz w:val="20"/>
                <w:szCs w:val="20"/>
              </w:rPr>
              <w:t>54–63</w:t>
            </w:r>
          </w:p>
        </w:tc>
        <w:tc>
          <w:tcPr>
            <w:tcW w:w="1117" w:type="dxa"/>
            <w:tcBorders>
              <w:top w:val="single" w:sz="4" w:space="0" w:color="000000"/>
              <w:left w:val="single" w:sz="18" w:space="0" w:color="000000"/>
              <w:bottom w:val="single" w:sz="4" w:space="0" w:color="000000"/>
              <w:right w:val="single" w:sz="8" w:space="0" w:color="000000"/>
            </w:tcBorders>
            <w:vAlign w:val="center"/>
          </w:tcPr>
          <w:p w14:paraId="0A9A0036" w14:textId="67B38E34"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w:t>
            </w:r>
          </w:p>
        </w:tc>
        <w:tc>
          <w:tcPr>
            <w:tcW w:w="111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5106BD15" w14:textId="2D3DAC31"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17%</w:t>
            </w:r>
          </w:p>
        </w:tc>
      </w:tr>
      <w:tr w:rsidR="003966BF" w:rsidRPr="00BB0086" w14:paraId="55D000B4" w14:textId="77777777" w:rsidTr="003966BF">
        <w:tblPrEx>
          <w:tblBorders>
            <w:top w:val="none" w:sz="0" w:space="0" w:color="auto"/>
          </w:tblBorders>
        </w:tblPrEx>
        <w:trPr>
          <w:jc w:val="center"/>
        </w:trPr>
        <w:tc>
          <w:tcPr>
            <w:tcW w:w="2280" w:type="dxa"/>
            <w:tcBorders>
              <w:top w:val="single" w:sz="4" w:space="0" w:color="000000"/>
              <w:left w:val="single" w:sz="12" w:space="0" w:color="000000"/>
              <w:bottom w:val="single" w:sz="4" w:space="0" w:color="000000"/>
              <w:right w:val="single" w:sz="8" w:space="0" w:color="000000"/>
            </w:tcBorders>
            <w:vAlign w:val="center"/>
          </w:tcPr>
          <w:p w14:paraId="69936129" w14:textId="0E75AC93" w:rsidR="003966BF" w:rsidRPr="00BB0086" w:rsidRDefault="003966BF" w:rsidP="003966B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BB0086">
              <w:rPr>
                <w:rFonts w:ascii="Verdana" w:eastAsia="Times New Roman" w:hAnsi="Verdana"/>
                <w:sz w:val="20"/>
                <w:szCs w:val="20"/>
              </w:rPr>
              <w:t>64–72</w:t>
            </w:r>
          </w:p>
        </w:tc>
        <w:tc>
          <w:tcPr>
            <w:tcW w:w="1117" w:type="dxa"/>
            <w:tcBorders>
              <w:top w:val="single" w:sz="4" w:space="0" w:color="000000"/>
              <w:left w:val="single" w:sz="18" w:space="0" w:color="000000"/>
              <w:bottom w:val="single" w:sz="4" w:space="0" w:color="000000"/>
              <w:right w:val="single" w:sz="8" w:space="0" w:color="000000"/>
            </w:tcBorders>
            <w:vAlign w:val="center"/>
          </w:tcPr>
          <w:p w14:paraId="5A19734A" w14:textId="73DBBB0C"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w:t>
            </w:r>
          </w:p>
        </w:tc>
        <w:tc>
          <w:tcPr>
            <w:tcW w:w="111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D68BAB9" w14:textId="5120CA26"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w:t>
            </w:r>
          </w:p>
        </w:tc>
      </w:tr>
      <w:tr w:rsidR="003966BF" w:rsidRPr="00BB0086" w14:paraId="3AAE4FA4" w14:textId="77777777" w:rsidTr="003966BF">
        <w:tblPrEx>
          <w:tblBorders>
            <w:top w:val="none" w:sz="0" w:space="0" w:color="auto"/>
          </w:tblBorders>
        </w:tblPrEx>
        <w:trPr>
          <w:jc w:val="center"/>
        </w:trPr>
        <w:tc>
          <w:tcPr>
            <w:tcW w:w="2280" w:type="dxa"/>
            <w:tcBorders>
              <w:top w:val="single" w:sz="4" w:space="0" w:color="000000"/>
              <w:left w:val="single" w:sz="12" w:space="0" w:color="000000"/>
              <w:bottom w:val="single" w:sz="12" w:space="0" w:color="000000"/>
              <w:right w:val="single" w:sz="8" w:space="0" w:color="000000"/>
            </w:tcBorders>
            <w:vAlign w:val="center"/>
          </w:tcPr>
          <w:p w14:paraId="27B7EDC2" w14:textId="4C9F4E15" w:rsidR="003966BF" w:rsidRPr="00BB0086" w:rsidRDefault="003966BF" w:rsidP="003966B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BB0086">
              <w:rPr>
                <w:rFonts w:ascii="Verdana" w:eastAsia="Times New Roman" w:hAnsi="Verdana"/>
                <w:sz w:val="20"/>
                <w:szCs w:val="20"/>
              </w:rPr>
              <w:t>73–93</w:t>
            </w:r>
          </w:p>
        </w:tc>
        <w:tc>
          <w:tcPr>
            <w:tcW w:w="1117" w:type="dxa"/>
            <w:tcBorders>
              <w:top w:val="single" w:sz="4" w:space="0" w:color="000000"/>
              <w:left w:val="single" w:sz="18" w:space="0" w:color="000000"/>
              <w:bottom w:val="single" w:sz="12" w:space="0" w:color="000000"/>
              <w:right w:val="single" w:sz="8" w:space="0" w:color="000000"/>
            </w:tcBorders>
            <w:vAlign w:val="center"/>
          </w:tcPr>
          <w:p w14:paraId="797F627D" w14:textId="53770210"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w:t>
            </w:r>
          </w:p>
        </w:tc>
        <w:tc>
          <w:tcPr>
            <w:tcW w:w="1118"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26F25B89" w14:textId="4EA6ED26" w:rsidR="003966BF" w:rsidRPr="00BB0086" w:rsidRDefault="003966BF" w:rsidP="003966BF">
            <w:pPr>
              <w:widowControl w:val="0"/>
              <w:numPr>
                <w:ilvl w:val="0"/>
                <w:numId w:val="2"/>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w:t>
            </w:r>
          </w:p>
        </w:tc>
      </w:tr>
    </w:tbl>
    <w:p w14:paraId="4C321B3F" w14:textId="77777777" w:rsidR="003966BF" w:rsidRPr="00BB0086" w:rsidRDefault="003966BF" w:rsidP="003966BF">
      <w:pPr>
        <w:tabs>
          <w:tab w:val="left" w:pos="2430"/>
        </w:tabs>
        <w:spacing w:after="0" w:line="240" w:lineRule="auto"/>
        <w:contextualSpacing/>
        <w:rPr>
          <w:sz w:val="20"/>
          <w:szCs w:val="20"/>
        </w:rPr>
      </w:pPr>
      <w:r w:rsidRPr="00BB0086">
        <w:rPr>
          <w:rFonts w:ascii="Verdana" w:hAnsi="Verdana"/>
          <w:sz w:val="16"/>
          <w:szCs w:val="16"/>
        </w:rPr>
        <w:tab/>
        <w:t>National Association of REALTORS</w:t>
      </w:r>
      <w:r w:rsidRPr="00BB0086">
        <w:rPr>
          <w:rFonts w:ascii="Verdana" w:hAnsi="Verdana"/>
          <w:sz w:val="20"/>
          <w:szCs w:val="20"/>
          <w:vertAlign w:val="superscript"/>
        </w:rPr>
        <w:t>®</w:t>
      </w:r>
      <w:r w:rsidRPr="00BB0086">
        <w:rPr>
          <w:rFonts w:ascii="Verdana" w:hAnsi="Verdana"/>
          <w:sz w:val="16"/>
          <w:szCs w:val="16"/>
        </w:rPr>
        <w:t>, April 2019</w:t>
      </w:r>
    </w:p>
    <w:p w14:paraId="55E80B81" w14:textId="77777777" w:rsidR="005F2FD7" w:rsidRPr="00BB0086" w:rsidRDefault="005F2FD7" w:rsidP="005F2FD7">
      <w:pPr>
        <w:spacing w:after="0" w:line="240" w:lineRule="auto"/>
        <w:contextualSpacing/>
        <w:mirrorIndents/>
        <w:rPr>
          <w:sz w:val="20"/>
          <w:szCs w:val="20"/>
        </w:rPr>
      </w:pPr>
    </w:p>
    <w:p w14:paraId="1765D924" w14:textId="38635607" w:rsidR="00F43643" w:rsidRPr="00BB0086" w:rsidRDefault="00F43643" w:rsidP="006D76A5">
      <w:pPr>
        <w:spacing w:after="0" w:line="240" w:lineRule="auto"/>
        <w:contextualSpacing/>
        <w:mirrorIndents/>
        <w:jc w:val="center"/>
        <w:rPr>
          <w:b/>
          <w:color w:val="0070C0"/>
          <w:sz w:val="20"/>
          <w:szCs w:val="20"/>
        </w:rPr>
      </w:pPr>
      <w:r w:rsidRPr="00BB0086">
        <w:rPr>
          <w:b/>
          <w:color w:val="0070C0"/>
          <w:sz w:val="20"/>
          <w:szCs w:val="20"/>
        </w:rPr>
        <w:t>Future Destinations of the Moving Industry</w:t>
      </w:r>
    </w:p>
    <w:p w14:paraId="7881425A" w14:textId="77777777" w:rsidR="00F94CE8" w:rsidRPr="00BB0086" w:rsidRDefault="00F94CE8" w:rsidP="00F43643">
      <w:pPr>
        <w:pStyle w:val="NoSpacing"/>
        <w:contextualSpacing/>
        <w:mirrorIndents/>
        <w:rPr>
          <w:sz w:val="20"/>
          <w:szCs w:val="20"/>
        </w:rPr>
      </w:pPr>
    </w:p>
    <w:p w14:paraId="11DB62D2" w14:textId="2A838B07" w:rsidR="00F94CE8" w:rsidRPr="00BB0086" w:rsidRDefault="00E272FE" w:rsidP="00E272FE">
      <w:pPr>
        <w:pStyle w:val="NoSpacing"/>
        <w:numPr>
          <w:ilvl w:val="0"/>
          <w:numId w:val="6"/>
        </w:numPr>
        <w:contextualSpacing/>
        <w:mirrorIndents/>
        <w:rPr>
          <w:sz w:val="20"/>
          <w:szCs w:val="20"/>
        </w:rPr>
      </w:pPr>
      <w:r w:rsidRPr="00BB0086">
        <w:rPr>
          <w:sz w:val="20"/>
          <w:szCs w:val="20"/>
        </w:rPr>
        <w:t>The moving industry is a major user of trucks of various sizes, so the industry may experience a major disruption with the introduction of self-driving trucks, with long-haul trucks likely to be the first self-driving vehicles on US freeways.</w:t>
      </w:r>
      <w:bookmarkStart w:id="0" w:name="_GoBack"/>
      <w:bookmarkEnd w:id="0"/>
    </w:p>
    <w:p w14:paraId="286AC9F6" w14:textId="77777777" w:rsidR="00F94CE8" w:rsidRPr="00BB0086" w:rsidRDefault="00F94CE8" w:rsidP="00F43643">
      <w:pPr>
        <w:pStyle w:val="NoSpacing"/>
        <w:contextualSpacing/>
        <w:mirrorIndents/>
        <w:rPr>
          <w:sz w:val="20"/>
          <w:szCs w:val="20"/>
        </w:rPr>
      </w:pPr>
    </w:p>
    <w:p w14:paraId="23D2BAA2" w14:textId="7769FD2F" w:rsidR="00F94CE8" w:rsidRPr="00BB0086" w:rsidRDefault="00E272FE" w:rsidP="00E272FE">
      <w:pPr>
        <w:pStyle w:val="NoSpacing"/>
        <w:numPr>
          <w:ilvl w:val="0"/>
          <w:numId w:val="6"/>
        </w:numPr>
        <w:contextualSpacing/>
        <w:mirrorIndents/>
        <w:rPr>
          <w:sz w:val="20"/>
          <w:szCs w:val="20"/>
        </w:rPr>
      </w:pPr>
      <w:r w:rsidRPr="00BB0086">
        <w:rPr>
          <w:sz w:val="20"/>
          <w:szCs w:val="20"/>
        </w:rPr>
        <w:t>The industry also employs tens of thousands of drivers and like the overall trucking industry</w:t>
      </w:r>
      <w:r w:rsidR="00E94E62">
        <w:rPr>
          <w:sz w:val="20"/>
          <w:szCs w:val="20"/>
        </w:rPr>
        <w:t xml:space="preserve"> </w:t>
      </w:r>
      <w:r w:rsidRPr="00BB0086">
        <w:rPr>
          <w:sz w:val="20"/>
          <w:szCs w:val="20"/>
        </w:rPr>
        <w:t>is experiencing a significant shortage of drivers. According to the American Trucking Association, the shortage is currently 50,000, and will increase.</w:t>
      </w:r>
    </w:p>
    <w:p w14:paraId="6C2ADCA1" w14:textId="77777777" w:rsidR="00E272FE" w:rsidRPr="00BB0086" w:rsidRDefault="00E272FE" w:rsidP="00E272FE">
      <w:pPr>
        <w:pStyle w:val="NoSpacing"/>
        <w:ind w:left="360"/>
        <w:contextualSpacing/>
        <w:mirrorIndents/>
        <w:rPr>
          <w:sz w:val="20"/>
          <w:szCs w:val="20"/>
        </w:rPr>
      </w:pPr>
    </w:p>
    <w:p w14:paraId="4AF85BB1" w14:textId="292B47ED" w:rsidR="00E272FE" w:rsidRPr="00BB0086" w:rsidRDefault="00E272FE" w:rsidP="00E272FE">
      <w:pPr>
        <w:pStyle w:val="NoSpacing"/>
        <w:numPr>
          <w:ilvl w:val="0"/>
          <w:numId w:val="6"/>
        </w:numPr>
        <w:contextualSpacing/>
        <w:mirrorIndents/>
        <w:rPr>
          <w:sz w:val="20"/>
          <w:szCs w:val="20"/>
        </w:rPr>
      </w:pPr>
      <w:r w:rsidRPr="00BB0086">
        <w:rPr>
          <w:sz w:val="20"/>
          <w:szCs w:val="20"/>
        </w:rPr>
        <w:t xml:space="preserve">Although the Data Storage Trends 2018 survey indicates businesses think their storage will increase </w:t>
      </w:r>
      <w:r w:rsidR="005F2FD7" w:rsidRPr="00BB0086">
        <w:rPr>
          <w:sz w:val="20"/>
          <w:szCs w:val="20"/>
        </w:rPr>
        <w:t>in the 1TB</w:t>
      </w:r>
      <w:r w:rsidR="005F2FD7" w:rsidRPr="00BB0086">
        <w:rPr>
          <w:rFonts w:ascii="Verdana" w:hAnsi="Verdana"/>
          <w:sz w:val="20"/>
          <w:szCs w:val="20"/>
        </w:rPr>
        <w:t>–</w:t>
      </w:r>
      <w:r w:rsidR="005F2FD7" w:rsidRPr="00BB0086">
        <w:rPr>
          <w:sz w:val="20"/>
          <w:szCs w:val="20"/>
        </w:rPr>
        <w:t>99TB range during the next 2 years, mid-size companies may find they need petabyte-level storage, which is 1,024 terabytes or 1 million gigabytes.</w:t>
      </w:r>
    </w:p>
    <w:p w14:paraId="664EB1A4" w14:textId="77777777" w:rsidR="00F94CE8" w:rsidRPr="00BB0086" w:rsidRDefault="00F94CE8" w:rsidP="00F43643">
      <w:pPr>
        <w:pStyle w:val="NoSpacing"/>
        <w:contextualSpacing/>
        <w:mirrorIndents/>
        <w:rPr>
          <w:sz w:val="20"/>
          <w:szCs w:val="20"/>
        </w:rPr>
      </w:pPr>
    </w:p>
    <w:p w14:paraId="7401C3C8" w14:textId="77777777" w:rsidR="00F94CE8" w:rsidRPr="00BB0086" w:rsidRDefault="00F94CE8" w:rsidP="00F43643">
      <w:pPr>
        <w:pStyle w:val="NoSpacing"/>
        <w:contextualSpacing/>
        <w:mirrorIndents/>
        <w:rPr>
          <w:sz w:val="20"/>
          <w:szCs w:val="20"/>
        </w:rPr>
      </w:pPr>
    </w:p>
    <w:p w14:paraId="02C0BC62" w14:textId="77777777" w:rsidR="00F94CE8" w:rsidRPr="00BB0086" w:rsidRDefault="00F94CE8" w:rsidP="00F43643">
      <w:pPr>
        <w:pStyle w:val="NoSpacing"/>
        <w:contextualSpacing/>
        <w:mirrorIndents/>
        <w:rPr>
          <w:sz w:val="20"/>
          <w:szCs w:val="20"/>
        </w:rPr>
      </w:pPr>
    </w:p>
    <w:p w14:paraId="37079E4B" w14:textId="77777777" w:rsidR="00F94CE8" w:rsidRPr="00BB0086" w:rsidRDefault="00F94CE8" w:rsidP="00F43643">
      <w:pPr>
        <w:pStyle w:val="NoSpacing"/>
        <w:contextualSpacing/>
        <w:mirrorIndents/>
        <w:rPr>
          <w:sz w:val="20"/>
          <w:szCs w:val="20"/>
        </w:rPr>
      </w:pPr>
    </w:p>
    <w:p w14:paraId="3A5080E9" w14:textId="77777777" w:rsidR="00F94CE8" w:rsidRPr="00BB0086" w:rsidRDefault="00F94CE8" w:rsidP="00F43643">
      <w:pPr>
        <w:pStyle w:val="NoSpacing"/>
        <w:contextualSpacing/>
        <w:mirrorIndents/>
        <w:rPr>
          <w:sz w:val="20"/>
          <w:szCs w:val="20"/>
        </w:rPr>
      </w:pPr>
    </w:p>
    <w:p w14:paraId="3D6E3712" w14:textId="77777777" w:rsidR="00F94CE8" w:rsidRPr="00BB0086" w:rsidRDefault="00F94CE8" w:rsidP="00F43643">
      <w:pPr>
        <w:pStyle w:val="NoSpacing"/>
        <w:contextualSpacing/>
        <w:mirrorIndents/>
        <w:rPr>
          <w:sz w:val="20"/>
          <w:szCs w:val="20"/>
        </w:rPr>
      </w:pPr>
    </w:p>
    <w:p w14:paraId="484391DE" w14:textId="77777777" w:rsidR="00F94CE8" w:rsidRPr="00BB0086" w:rsidRDefault="00F94CE8" w:rsidP="00F43643">
      <w:pPr>
        <w:pStyle w:val="NoSpacing"/>
        <w:contextualSpacing/>
        <w:mirrorIndents/>
        <w:rPr>
          <w:sz w:val="20"/>
          <w:szCs w:val="20"/>
        </w:rPr>
      </w:pPr>
    </w:p>
    <w:p w14:paraId="633FD3CD" w14:textId="77777777" w:rsidR="00F94CE8" w:rsidRPr="00BB0086" w:rsidRDefault="00F94CE8" w:rsidP="00F43643">
      <w:pPr>
        <w:pStyle w:val="NoSpacing"/>
        <w:contextualSpacing/>
        <w:mirrorIndents/>
        <w:rPr>
          <w:sz w:val="20"/>
          <w:szCs w:val="20"/>
        </w:rPr>
      </w:pPr>
    </w:p>
    <w:p w14:paraId="22AD5DBB" w14:textId="77777777" w:rsidR="00F94CE8" w:rsidRPr="00BB0086" w:rsidRDefault="00F94CE8" w:rsidP="00F43643">
      <w:pPr>
        <w:pStyle w:val="NoSpacing"/>
        <w:contextualSpacing/>
        <w:mirrorIndents/>
        <w:rPr>
          <w:sz w:val="20"/>
          <w:szCs w:val="20"/>
        </w:rPr>
      </w:pPr>
    </w:p>
    <w:p w14:paraId="6FF184E1" w14:textId="77777777" w:rsidR="00F94CE8" w:rsidRPr="00BB0086" w:rsidRDefault="00F94CE8" w:rsidP="00F43643">
      <w:pPr>
        <w:pStyle w:val="NoSpacing"/>
        <w:contextualSpacing/>
        <w:mirrorIndents/>
        <w:rPr>
          <w:sz w:val="20"/>
          <w:szCs w:val="20"/>
        </w:rPr>
      </w:pPr>
    </w:p>
    <w:p w14:paraId="1F83A38D" w14:textId="77777777" w:rsidR="00F94CE8" w:rsidRPr="00BB0086" w:rsidRDefault="00F94CE8" w:rsidP="00F43643">
      <w:pPr>
        <w:pStyle w:val="NoSpacing"/>
        <w:contextualSpacing/>
        <w:mirrorIndents/>
        <w:rPr>
          <w:sz w:val="20"/>
          <w:szCs w:val="20"/>
        </w:rPr>
      </w:pPr>
    </w:p>
    <w:p w14:paraId="18261CC9" w14:textId="77777777" w:rsidR="00F94CE8" w:rsidRPr="00BB0086" w:rsidRDefault="00F94CE8" w:rsidP="00F43643">
      <w:pPr>
        <w:pStyle w:val="NoSpacing"/>
        <w:contextualSpacing/>
        <w:mirrorIndents/>
        <w:rPr>
          <w:sz w:val="20"/>
          <w:szCs w:val="20"/>
        </w:rPr>
      </w:pPr>
    </w:p>
    <w:p w14:paraId="092B0637" w14:textId="77777777" w:rsidR="00F94CE8" w:rsidRPr="00BB0086" w:rsidRDefault="00F94CE8" w:rsidP="00F43643">
      <w:pPr>
        <w:pStyle w:val="NoSpacing"/>
        <w:contextualSpacing/>
        <w:mirrorIndents/>
        <w:rPr>
          <w:sz w:val="20"/>
          <w:szCs w:val="20"/>
        </w:rPr>
      </w:pPr>
    </w:p>
    <w:p w14:paraId="529A327D" w14:textId="77777777" w:rsidR="00F94CE8" w:rsidRPr="00BB0086" w:rsidRDefault="00F94CE8" w:rsidP="00F43643">
      <w:pPr>
        <w:pStyle w:val="NoSpacing"/>
        <w:contextualSpacing/>
        <w:mirrorIndents/>
        <w:rPr>
          <w:sz w:val="20"/>
          <w:szCs w:val="20"/>
        </w:rPr>
      </w:pPr>
    </w:p>
    <w:p w14:paraId="05B35E5D" w14:textId="372133E7" w:rsidR="00F94CE8" w:rsidRPr="00BB0086" w:rsidRDefault="00F94CE8" w:rsidP="00E35332">
      <w:pPr>
        <w:spacing w:after="0" w:line="240" w:lineRule="auto"/>
        <w:contextualSpacing/>
        <w:mirrorIndents/>
        <w:jc w:val="center"/>
        <w:rPr>
          <w:sz w:val="20"/>
          <w:szCs w:val="20"/>
        </w:rPr>
      </w:pPr>
      <w:r w:rsidRPr="00BB0086">
        <w:rPr>
          <w:b/>
          <w:color w:val="0070C0"/>
          <w:sz w:val="20"/>
          <w:szCs w:val="20"/>
        </w:rPr>
        <w:lastRenderedPageBreak/>
        <w:t>Additional Analysis</w:t>
      </w:r>
    </w:p>
    <w:p w14:paraId="4D37D21A" w14:textId="77777777" w:rsidR="00F94CE8" w:rsidRPr="00BB0086" w:rsidRDefault="00F94CE8" w:rsidP="00F94CE8">
      <w:pPr>
        <w:pStyle w:val="NoSpacing"/>
        <w:contextualSpacing/>
        <w:rPr>
          <w:sz w:val="20"/>
          <w:szCs w:val="20"/>
        </w:rPr>
      </w:pPr>
    </w:p>
    <w:p w14:paraId="718411C0" w14:textId="3D51FB75" w:rsidR="00F94CE8" w:rsidRPr="00BB0086" w:rsidRDefault="00EA65B2" w:rsidP="00F94CE8">
      <w:pPr>
        <w:pStyle w:val="NoSpacing"/>
        <w:contextualSpacing/>
        <w:rPr>
          <w:sz w:val="20"/>
          <w:szCs w:val="20"/>
        </w:rPr>
      </w:pPr>
      <w:r w:rsidRPr="00BB0086">
        <w:rPr>
          <w:sz w:val="20"/>
          <w:szCs w:val="20"/>
        </w:rPr>
        <w:t>Scruti</w:t>
      </w:r>
      <w:r w:rsidR="00495212" w:rsidRPr="00BB0086">
        <w:rPr>
          <w:sz w:val="20"/>
          <w:szCs w:val="20"/>
        </w:rPr>
        <w:t>nizing data from recent consumer surveys from The Media Audit reveal</w:t>
      </w:r>
      <w:r w:rsidR="00E94E62">
        <w:rPr>
          <w:sz w:val="20"/>
          <w:szCs w:val="20"/>
        </w:rPr>
        <w:t>s</w:t>
      </w:r>
      <w:r w:rsidR="00495212" w:rsidRPr="00BB0086">
        <w:rPr>
          <w:sz w:val="20"/>
          <w:szCs w:val="20"/>
        </w:rPr>
        <w:t xml:space="preserve"> the potential target audience</w:t>
      </w:r>
      <w:r w:rsidR="00E94E62">
        <w:rPr>
          <w:sz w:val="20"/>
          <w:szCs w:val="20"/>
        </w:rPr>
        <w:t>s</w:t>
      </w:r>
      <w:r w:rsidR="00495212" w:rsidRPr="00BB0086">
        <w:rPr>
          <w:sz w:val="20"/>
          <w:szCs w:val="20"/>
        </w:rPr>
        <w:t xml:space="preserve"> for movers based on the metric “plan to sell a home during the next 2 years.” The following tables compare </w:t>
      </w:r>
      <w:r w:rsidR="00E94E62">
        <w:rPr>
          <w:sz w:val="20"/>
          <w:szCs w:val="20"/>
        </w:rPr>
        <w:t xml:space="preserve">some of the </w:t>
      </w:r>
      <w:r w:rsidR="00495212" w:rsidRPr="00BB0086">
        <w:rPr>
          <w:sz w:val="20"/>
          <w:szCs w:val="20"/>
        </w:rPr>
        <w:t>markets in outbound states and outbound cities from the table on page 1 of this Profiler.</w:t>
      </w:r>
    </w:p>
    <w:p w14:paraId="72A9D893" w14:textId="77777777" w:rsidR="00F94CE8" w:rsidRPr="00BB0086" w:rsidRDefault="00F94CE8" w:rsidP="00F94CE8">
      <w:pPr>
        <w:pStyle w:val="NoSpacing"/>
        <w:contextualSpacing/>
        <w:rPr>
          <w:sz w:val="20"/>
          <w:szCs w:val="20"/>
        </w:rPr>
      </w:pPr>
    </w:p>
    <w:p w14:paraId="78E679E8" w14:textId="45BA4767" w:rsidR="00F94CE8" w:rsidRPr="00BB0086" w:rsidRDefault="00495212" w:rsidP="00F94CE8">
      <w:pPr>
        <w:pStyle w:val="NoSpacing"/>
        <w:contextualSpacing/>
        <w:rPr>
          <w:sz w:val="20"/>
          <w:szCs w:val="20"/>
        </w:rPr>
      </w:pPr>
      <w:r w:rsidRPr="00BB0086">
        <w:rPr>
          <w:sz w:val="20"/>
          <w:szCs w:val="20"/>
        </w:rPr>
        <w:t xml:space="preserve">Interestingly, of the four markets, a much larger </w:t>
      </w:r>
      <w:r w:rsidR="00E94E62">
        <w:rPr>
          <w:sz w:val="20"/>
          <w:szCs w:val="20"/>
        </w:rPr>
        <w:t xml:space="preserve">percentage </w:t>
      </w:r>
      <w:r w:rsidRPr="00BB0086">
        <w:rPr>
          <w:sz w:val="20"/>
          <w:szCs w:val="20"/>
        </w:rPr>
        <w:t>of men, or 57.7%, are in this category than women, or 42.3%; however, in two of the markets, more women are in this category than men: Seattle-Tacoma, WA, 62.2% and 37.8%, and Tampa-St. Petersburg, FL, 54.0% and 46.0%, while Austin, TX is almost even, 50.8% and 49.2%, respectively.</w:t>
      </w:r>
    </w:p>
    <w:p w14:paraId="3CDFB8E2" w14:textId="77777777" w:rsidR="00F94CE8" w:rsidRPr="00BB0086" w:rsidRDefault="00F94CE8" w:rsidP="00F94CE8">
      <w:pPr>
        <w:pStyle w:val="NoSpacing"/>
        <w:contextualSpacing/>
        <w:rPr>
          <w:sz w:val="20"/>
          <w:szCs w:val="20"/>
        </w:rPr>
      </w:pPr>
    </w:p>
    <w:p w14:paraId="00A35C19" w14:textId="77777777" w:rsidR="00495212" w:rsidRPr="00BB0086" w:rsidRDefault="00495212" w:rsidP="00495212">
      <w:pPr>
        <w:pStyle w:val="Header"/>
        <w:contextualSpacing/>
        <w:jc w:val="center"/>
        <w:rPr>
          <w:b/>
          <w:sz w:val="20"/>
          <w:szCs w:val="20"/>
        </w:rPr>
      </w:pPr>
      <w:r w:rsidRPr="00BB0086">
        <w:rPr>
          <w:b/>
          <w:sz w:val="20"/>
          <w:szCs w:val="20"/>
        </w:rPr>
        <w:t xml:space="preserve">Adults 18+ Who Plan to Sell a Home During the </w:t>
      </w:r>
    </w:p>
    <w:p w14:paraId="0BBE2346" w14:textId="6DEEE3BB" w:rsidR="00495212" w:rsidRPr="00BB0086" w:rsidRDefault="00495212" w:rsidP="00495212">
      <w:pPr>
        <w:pStyle w:val="Header"/>
        <w:contextualSpacing/>
        <w:jc w:val="center"/>
        <w:rPr>
          <w:b/>
          <w:sz w:val="20"/>
          <w:szCs w:val="20"/>
        </w:rPr>
      </w:pPr>
      <w:r w:rsidRPr="00BB0086">
        <w:rPr>
          <w:b/>
          <w:sz w:val="20"/>
          <w:szCs w:val="20"/>
        </w:rPr>
        <w:t>Next 2 Years in Selected Markets, 2019</w:t>
      </w:r>
    </w:p>
    <w:tbl>
      <w:tblPr>
        <w:tblW w:w="1033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415"/>
        <w:gridCol w:w="990"/>
        <w:gridCol w:w="990"/>
        <w:gridCol w:w="990"/>
        <w:gridCol w:w="990"/>
        <w:gridCol w:w="990"/>
        <w:gridCol w:w="990"/>
        <w:gridCol w:w="1001"/>
        <w:gridCol w:w="979"/>
      </w:tblGrid>
      <w:tr w:rsidR="006251C0" w:rsidRPr="00BB0086" w14:paraId="680C3FDE" w14:textId="129A9281" w:rsidTr="00E94E62">
        <w:trPr>
          <w:jc w:val="center"/>
        </w:trPr>
        <w:tc>
          <w:tcPr>
            <w:tcW w:w="2415" w:type="dxa"/>
            <w:tcBorders>
              <w:top w:val="single" w:sz="12" w:space="0" w:color="000000"/>
              <w:left w:val="single" w:sz="12" w:space="0" w:color="000000"/>
              <w:bottom w:val="single" w:sz="12" w:space="0" w:color="000000"/>
              <w:right w:val="single" w:sz="18" w:space="0" w:color="000000"/>
            </w:tcBorders>
            <w:shd w:val="clear" w:color="auto" w:fill="auto"/>
            <w:vAlign w:val="center"/>
          </w:tcPr>
          <w:p w14:paraId="185BE0CA" w14:textId="0417BEFB" w:rsidR="006251C0" w:rsidRPr="00BB0086" w:rsidRDefault="00E66A1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Demographic</w:t>
            </w:r>
          </w:p>
        </w:tc>
        <w:tc>
          <w:tcPr>
            <w:tcW w:w="1980" w:type="dxa"/>
            <w:gridSpan w:val="2"/>
            <w:tcBorders>
              <w:top w:val="single" w:sz="12" w:space="0" w:color="000000"/>
              <w:left w:val="single" w:sz="8" w:space="0" w:color="000000"/>
              <w:bottom w:val="single" w:sz="12" w:space="0" w:color="000000"/>
              <w:right w:val="single" w:sz="12" w:space="0" w:color="000000"/>
            </w:tcBorders>
            <w:vAlign w:val="center"/>
          </w:tcPr>
          <w:p w14:paraId="17CB6D3E" w14:textId="35F94E11"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Chicago, IL</w:t>
            </w:r>
          </w:p>
        </w:tc>
        <w:tc>
          <w:tcPr>
            <w:tcW w:w="1980" w:type="dxa"/>
            <w:gridSpan w:val="2"/>
            <w:tcBorders>
              <w:top w:val="single" w:sz="12" w:space="0" w:color="000000"/>
              <w:left w:val="single" w:sz="12" w:space="0" w:color="000000"/>
              <w:bottom w:val="single" w:sz="12" w:space="0" w:color="000000"/>
              <w:right w:val="single" w:sz="12" w:space="0" w:color="000000"/>
            </w:tcBorders>
            <w:vAlign w:val="center"/>
          </w:tcPr>
          <w:p w14:paraId="722A9E6A" w14:textId="6A18B969" w:rsidR="006251C0" w:rsidRPr="00BB0086" w:rsidRDefault="00294F39"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Tampa-St. Petersburg, FL</w:t>
            </w:r>
          </w:p>
        </w:tc>
        <w:tc>
          <w:tcPr>
            <w:tcW w:w="1980" w:type="dxa"/>
            <w:gridSpan w:val="2"/>
            <w:tcBorders>
              <w:top w:val="single" w:sz="12" w:space="0" w:color="000000"/>
              <w:left w:val="single" w:sz="12" w:space="0" w:color="000000"/>
              <w:bottom w:val="single" w:sz="12" w:space="0" w:color="000000"/>
              <w:right w:val="single" w:sz="12" w:space="0" w:color="000000"/>
            </w:tcBorders>
            <w:vAlign w:val="center"/>
          </w:tcPr>
          <w:p w14:paraId="0593D62A" w14:textId="204DEA97" w:rsidR="006251C0" w:rsidRPr="00BB0086" w:rsidRDefault="00294F39"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Seattle-Tacoma, WA</w:t>
            </w:r>
          </w:p>
        </w:tc>
        <w:tc>
          <w:tcPr>
            <w:tcW w:w="1980" w:type="dxa"/>
            <w:gridSpan w:val="2"/>
            <w:tcBorders>
              <w:top w:val="single" w:sz="12" w:space="0" w:color="000000"/>
              <w:left w:val="single" w:sz="12" w:space="0" w:color="000000"/>
              <w:bottom w:val="single" w:sz="12" w:space="0" w:color="000000"/>
              <w:right w:val="single" w:sz="12" w:space="0" w:color="000000"/>
            </w:tcBorders>
            <w:vAlign w:val="center"/>
          </w:tcPr>
          <w:p w14:paraId="4EF30BBF" w14:textId="51EFEBF0" w:rsidR="006251C0" w:rsidRPr="00BB0086" w:rsidRDefault="00E66A1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Austin, TX</w:t>
            </w:r>
          </w:p>
        </w:tc>
      </w:tr>
      <w:tr w:rsidR="006251C0" w:rsidRPr="00BB0086" w14:paraId="2B7DB2C7" w14:textId="70C39E40" w:rsidTr="00E94E62">
        <w:trPr>
          <w:jc w:val="center"/>
        </w:trPr>
        <w:tc>
          <w:tcPr>
            <w:tcW w:w="2415" w:type="dxa"/>
            <w:tcBorders>
              <w:top w:val="single" w:sz="12" w:space="0" w:color="000000"/>
              <w:left w:val="single" w:sz="12" w:space="0" w:color="000000"/>
              <w:bottom w:val="single" w:sz="18" w:space="0" w:color="000000"/>
              <w:right w:val="single" w:sz="18" w:space="0" w:color="000000"/>
            </w:tcBorders>
            <w:shd w:val="clear" w:color="auto" w:fill="auto"/>
            <w:vAlign w:val="center"/>
          </w:tcPr>
          <w:p w14:paraId="38FB0F20" w14:textId="77777777" w:rsidR="006251C0" w:rsidRPr="00BB0086" w:rsidRDefault="006251C0" w:rsidP="006251C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p>
        </w:tc>
        <w:tc>
          <w:tcPr>
            <w:tcW w:w="990" w:type="dxa"/>
            <w:tcBorders>
              <w:top w:val="single" w:sz="12" w:space="0" w:color="000000"/>
              <w:left w:val="single" w:sz="8" w:space="0" w:color="000000"/>
              <w:bottom w:val="single" w:sz="18" w:space="0" w:color="000000"/>
              <w:right w:val="single" w:sz="8" w:space="0" w:color="000000"/>
            </w:tcBorders>
            <w:vAlign w:val="center"/>
          </w:tcPr>
          <w:p w14:paraId="1280128C" w14:textId="77777777"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Percent</w:t>
            </w:r>
          </w:p>
        </w:tc>
        <w:tc>
          <w:tcPr>
            <w:tcW w:w="990" w:type="dxa"/>
            <w:tcBorders>
              <w:top w:val="single" w:sz="12" w:space="0" w:color="000000"/>
              <w:left w:val="single" w:sz="8" w:space="0" w:color="000000"/>
              <w:bottom w:val="single" w:sz="18" w:space="0" w:color="000000"/>
              <w:right w:val="single" w:sz="12" w:space="0" w:color="000000"/>
            </w:tcBorders>
            <w:vAlign w:val="center"/>
          </w:tcPr>
          <w:p w14:paraId="5654491E" w14:textId="77777777"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Index</w:t>
            </w:r>
          </w:p>
        </w:tc>
        <w:tc>
          <w:tcPr>
            <w:tcW w:w="990" w:type="dxa"/>
            <w:tcBorders>
              <w:top w:val="single" w:sz="12" w:space="0" w:color="000000"/>
              <w:left w:val="single" w:sz="8" w:space="0" w:color="000000"/>
              <w:bottom w:val="single" w:sz="18" w:space="0" w:color="000000"/>
              <w:right w:val="single" w:sz="8" w:space="0" w:color="000000"/>
            </w:tcBorders>
            <w:vAlign w:val="center"/>
          </w:tcPr>
          <w:p w14:paraId="7A85EFF1" w14:textId="77777777"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Percent</w:t>
            </w:r>
          </w:p>
        </w:tc>
        <w:tc>
          <w:tcPr>
            <w:tcW w:w="990" w:type="dxa"/>
            <w:tcBorders>
              <w:top w:val="single" w:sz="12" w:space="0" w:color="000000"/>
              <w:left w:val="single" w:sz="8" w:space="0" w:color="000000"/>
              <w:bottom w:val="single" w:sz="18" w:space="0" w:color="000000"/>
              <w:right w:val="single" w:sz="12" w:space="0" w:color="000000"/>
            </w:tcBorders>
            <w:vAlign w:val="center"/>
          </w:tcPr>
          <w:p w14:paraId="7F52EDE7" w14:textId="77777777"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Index</w:t>
            </w:r>
          </w:p>
        </w:tc>
        <w:tc>
          <w:tcPr>
            <w:tcW w:w="990" w:type="dxa"/>
            <w:tcBorders>
              <w:top w:val="single" w:sz="12" w:space="0" w:color="000000"/>
              <w:left w:val="single" w:sz="8" w:space="0" w:color="000000"/>
              <w:bottom w:val="single" w:sz="18" w:space="0" w:color="000000"/>
              <w:right w:val="single" w:sz="8" w:space="0" w:color="auto"/>
            </w:tcBorders>
            <w:vAlign w:val="center"/>
          </w:tcPr>
          <w:p w14:paraId="715BBAE8" w14:textId="59112846"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Percent</w:t>
            </w:r>
          </w:p>
        </w:tc>
        <w:tc>
          <w:tcPr>
            <w:tcW w:w="990" w:type="dxa"/>
            <w:tcBorders>
              <w:top w:val="single" w:sz="12" w:space="0" w:color="000000"/>
              <w:left w:val="single" w:sz="8" w:space="0" w:color="auto"/>
              <w:bottom w:val="single" w:sz="18" w:space="0" w:color="000000"/>
              <w:right w:val="single" w:sz="12" w:space="0" w:color="000000"/>
            </w:tcBorders>
            <w:vAlign w:val="center"/>
          </w:tcPr>
          <w:p w14:paraId="13CC49C3" w14:textId="647ECE86"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Index</w:t>
            </w:r>
          </w:p>
        </w:tc>
        <w:tc>
          <w:tcPr>
            <w:tcW w:w="1001" w:type="dxa"/>
            <w:tcBorders>
              <w:top w:val="single" w:sz="12" w:space="0" w:color="000000"/>
              <w:left w:val="single" w:sz="8" w:space="0" w:color="auto"/>
              <w:bottom w:val="single" w:sz="18" w:space="0" w:color="000000"/>
              <w:right w:val="single" w:sz="8" w:space="0" w:color="auto"/>
            </w:tcBorders>
            <w:vAlign w:val="center"/>
          </w:tcPr>
          <w:p w14:paraId="40ECC7CE" w14:textId="235711BF"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Percent</w:t>
            </w:r>
          </w:p>
        </w:tc>
        <w:tc>
          <w:tcPr>
            <w:tcW w:w="979" w:type="dxa"/>
            <w:tcBorders>
              <w:top w:val="single" w:sz="12" w:space="0" w:color="000000"/>
              <w:left w:val="single" w:sz="8" w:space="0" w:color="auto"/>
              <w:bottom w:val="single" w:sz="18" w:space="0" w:color="000000"/>
              <w:right w:val="single" w:sz="12" w:space="0" w:color="000000"/>
            </w:tcBorders>
            <w:vAlign w:val="center"/>
          </w:tcPr>
          <w:p w14:paraId="1B9B03C0" w14:textId="3225E7DC" w:rsidR="006251C0" w:rsidRPr="00BB0086" w:rsidRDefault="006251C0" w:rsidP="00E94E6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BB0086">
              <w:rPr>
                <w:rFonts w:ascii="Verdana" w:eastAsia="Times New Roman" w:hAnsi="Verdana"/>
                <w:sz w:val="20"/>
                <w:szCs w:val="20"/>
              </w:rPr>
              <w:t>Index</w:t>
            </w:r>
          </w:p>
        </w:tc>
      </w:tr>
      <w:tr w:rsidR="006251C0" w:rsidRPr="00BB0086" w14:paraId="4CB693F6" w14:textId="5F6391D1"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0403983" w14:textId="6372FA86"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Age, 18</w:t>
            </w:r>
            <w:r w:rsidRPr="00BB0086">
              <w:rPr>
                <w:rFonts w:ascii="Verdana" w:eastAsia="Times New Roman" w:hAnsi="Verdana"/>
                <w:sz w:val="20"/>
                <w:szCs w:val="20"/>
              </w:rPr>
              <w:t>–</w:t>
            </w:r>
            <w:r w:rsidRPr="00BB0086">
              <w:rPr>
                <w:rFonts w:ascii="Verdana" w:eastAsia="Times New Roman" w:hAnsi="Verdana"/>
                <w:sz w:val="20"/>
                <w:szCs w:val="20"/>
              </w:rPr>
              <w:t>24</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AEB196E" w14:textId="24EE8EB1"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5.2%</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783B4555" w14:textId="6C144A27"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39.5</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4DFCCCF" w14:textId="0E0DB56B"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3.9%</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8C0EFA6" w14:textId="6E3D89D1"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36</w:t>
            </w:r>
          </w:p>
        </w:tc>
        <w:tc>
          <w:tcPr>
            <w:tcW w:w="990" w:type="dxa"/>
            <w:tcBorders>
              <w:top w:val="single" w:sz="4" w:space="0" w:color="000000"/>
              <w:left w:val="single" w:sz="8" w:space="0" w:color="000000"/>
              <w:bottom w:val="single" w:sz="4" w:space="0" w:color="000000"/>
              <w:right w:val="single" w:sz="8" w:space="0" w:color="auto"/>
            </w:tcBorders>
            <w:vAlign w:val="center"/>
          </w:tcPr>
          <w:p w14:paraId="1241C0DD" w14:textId="6D1FCE9C"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7.9%</w:t>
            </w:r>
          </w:p>
        </w:tc>
        <w:tc>
          <w:tcPr>
            <w:tcW w:w="990" w:type="dxa"/>
            <w:tcBorders>
              <w:top w:val="single" w:sz="4" w:space="0" w:color="000000"/>
              <w:left w:val="single" w:sz="8" w:space="0" w:color="auto"/>
              <w:bottom w:val="single" w:sz="4" w:space="0" w:color="000000"/>
              <w:right w:val="single" w:sz="12" w:space="0" w:color="000000"/>
            </w:tcBorders>
            <w:vAlign w:val="center"/>
          </w:tcPr>
          <w:p w14:paraId="2047E932" w14:textId="33F137F5"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55</w:t>
            </w:r>
          </w:p>
        </w:tc>
        <w:tc>
          <w:tcPr>
            <w:tcW w:w="1001" w:type="dxa"/>
            <w:tcBorders>
              <w:top w:val="single" w:sz="4" w:space="0" w:color="000000"/>
              <w:left w:val="single" w:sz="8" w:space="0" w:color="auto"/>
              <w:bottom w:val="single" w:sz="4" w:space="0" w:color="000000"/>
              <w:right w:val="single" w:sz="8" w:space="0" w:color="auto"/>
            </w:tcBorders>
            <w:vAlign w:val="center"/>
          </w:tcPr>
          <w:p w14:paraId="383D4041" w14:textId="7726EC1C"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12.9%</w:t>
            </w:r>
          </w:p>
        </w:tc>
        <w:tc>
          <w:tcPr>
            <w:tcW w:w="979" w:type="dxa"/>
            <w:tcBorders>
              <w:top w:val="single" w:sz="4" w:space="0" w:color="000000"/>
              <w:left w:val="single" w:sz="8" w:space="0" w:color="auto"/>
              <w:bottom w:val="single" w:sz="4" w:space="0" w:color="000000"/>
              <w:right w:val="single" w:sz="12" w:space="0" w:color="000000"/>
            </w:tcBorders>
            <w:vAlign w:val="center"/>
          </w:tcPr>
          <w:p w14:paraId="09DDF5B1" w14:textId="5C71E08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82</w:t>
            </w:r>
          </w:p>
        </w:tc>
      </w:tr>
      <w:tr w:rsidR="006251C0" w:rsidRPr="00BB0086" w14:paraId="0CEE2EEB" w14:textId="2C8C9D39"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3572A59" w14:textId="0276D0F1"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 xml:space="preserve">Age, </w:t>
            </w:r>
            <w:r w:rsidRPr="00BB0086">
              <w:rPr>
                <w:rFonts w:ascii="Verdana" w:eastAsia="Times New Roman" w:hAnsi="Verdana"/>
                <w:sz w:val="20"/>
                <w:szCs w:val="20"/>
              </w:rPr>
              <w:t>25</w:t>
            </w:r>
            <w:r w:rsidRPr="00BB0086">
              <w:rPr>
                <w:rFonts w:ascii="Verdana" w:eastAsia="Times New Roman" w:hAnsi="Verdana"/>
                <w:sz w:val="20"/>
                <w:szCs w:val="20"/>
              </w:rPr>
              <w:t>–</w:t>
            </w:r>
            <w:r w:rsidRPr="00BB0086">
              <w:rPr>
                <w:rFonts w:ascii="Verdana" w:eastAsia="Times New Roman" w:hAnsi="Verdana"/>
                <w:sz w:val="20"/>
                <w:szCs w:val="20"/>
              </w:rPr>
              <w:t>34</w:t>
            </w:r>
          </w:p>
        </w:tc>
        <w:tc>
          <w:tcPr>
            <w:tcW w:w="990" w:type="dxa"/>
            <w:tcBorders>
              <w:top w:val="single" w:sz="4" w:space="0" w:color="000000"/>
              <w:left w:val="single" w:sz="8" w:space="0" w:color="000000"/>
              <w:bottom w:val="single" w:sz="4" w:space="0" w:color="000000"/>
              <w:right w:val="single" w:sz="8" w:space="0" w:color="000000"/>
            </w:tcBorders>
            <w:shd w:val="clear" w:color="auto" w:fill="EAF1DD" w:themeFill="accent3" w:themeFillTint="33"/>
            <w:vAlign w:val="center"/>
          </w:tcPr>
          <w:p w14:paraId="120053FA" w14:textId="43F21765"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25.4%</w:t>
            </w:r>
          </w:p>
        </w:tc>
        <w:tc>
          <w:tcPr>
            <w:tcW w:w="990" w:type="dxa"/>
            <w:tcBorders>
              <w:top w:val="single" w:sz="4" w:space="0" w:color="000000"/>
              <w:left w:val="single" w:sz="8" w:space="0" w:color="000000"/>
              <w:bottom w:val="single" w:sz="4" w:space="0" w:color="000000"/>
              <w:right w:val="single" w:sz="12" w:space="0" w:color="000000"/>
            </w:tcBorders>
            <w:shd w:val="clear" w:color="auto" w:fill="EAF1DD" w:themeFill="accent3" w:themeFillTint="33"/>
            <w:vAlign w:val="center"/>
          </w:tcPr>
          <w:p w14:paraId="31A267C7" w14:textId="059A5AE8"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139</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E73FB7C" w14:textId="007104BE"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15.3%</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28394C0" w14:textId="562370AF"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106</w:t>
            </w:r>
          </w:p>
        </w:tc>
        <w:tc>
          <w:tcPr>
            <w:tcW w:w="990" w:type="dxa"/>
            <w:tcBorders>
              <w:top w:val="single" w:sz="4" w:space="0" w:color="000000"/>
              <w:left w:val="single" w:sz="8" w:space="0" w:color="000000"/>
              <w:bottom w:val="single" w:sz="4" w:space="0" w:color="000000"/>
              <w:right w:val="single" w:sz="8" w:space="0" w:color="auto"/>
            </w:tcBorders>
            <w:shd w:val="clear" w:color="auto" w:fill="EAF1DD" w:themeFill="accent3" w:themeFillTint="33"/>
            <w:vAlign w:val="center"/>
          </w:tcPr>
          <w:p w14:paraId="68545616" w14:textId="6E4D3CE7"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25.7%</w:t>
            </w:r>
          </w:p>
        </w:tc>
        <w:tc>
          <w:tcPr>
            <w:tcW w:w="990" w:type="dxa"/>
            <w:tcBorders>
              <w:top w:val="single" w:sz="4" w:space="0" w:color="000000"/>
              <w:left w:val="single" w:sz="8" w:space="0" w:color="auto"/>
              <w:bottom w:val="single" w:sz="4" w:space="0" w:color="000000"/>
              <w:right w:val="single" w:sz="12" w:space="0" w:color="000000"/>
            </w:tcBorders>
            <w:shd w:val="clear" w:color="auto" w:fill="EAF1DD" w:themeFill="accent3" w:themeFillTint="33"/>
            <w:vAlign w:val="center"/>
          </w:tcPr>
          <w:p w14:paraId="3699114E" w14:textId="7C03C8F0"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141</w:t>
            </w:r>
          </w:p>
        </w:tc>
        <w:tc>
          <w:tcPr>
            <w:tcW w:w="1001" w:type="dxa"/>
            <w:tcBorders>
              <w:top w:val="single" w:sz="4" w:space="0" w:color="000000"/>
              <w:left w:val="single" w:sz="8" w:space="0" w:color="auto"/>
              <w:bottom w:val="single" w:sz="4" w:space="0" w:color="000000"/>
              <w:right w:val="single" w:sz="8" w:space="0" w:color="auto"/>
            </w:tcBorders>
            <w:shd w:val="clear" w:color="auto" w:fill="EAF1DD" w:themeFill="accent3" w:themeFillTint="33"/>
            <w:vAlign w:val="center"/>
          </w:tcPr>
          <w:p w14:paraId="6C877526" w14:textId="070D1EA7"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27.4%</w:t>
            </w:r>
          </w:p>
        </w:tc>
        <w:tc>
          <w:tcPr>
            <w:tcW w:w="979" w:type="dxa"/>
            <w:tcBorders>
              <w:top w:val="single" w:sz="4" w:space="0" w:color="000000"/>
              <w:left w:val="single" w:sz="8" w:space="0" w:color="auto"/>
              <w:bottom w:val="single" w:sz="4" w:space="0" w:color="000000"/>
              <w:right w:val="single" w:sz="12" w:space="0" w:color="000000"/>
            </w:tcBorders>
            <w:shd w:val="clear" w:color="auto" w:fill="EAF1DD" w:themeFill="accent3" w:themeFillTint="33"/>
            <w:vAlign w:val="center"/>
          </w:tcPr>
          <w:p w14:paraId="2978550C" w14:textId="67293CA2"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129</w:t>
            </w:r>
          </w:p>
        </w:tc>
      </w:tr>
      <w:tr w:rsidR="006251C0" w:rsidRPr="00BB0086" w14:paraId="4D1D6F8E" w14:textId="3B997C09"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288AA473" w14:textId="1BEDE728"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 xml:space="preserve">Age, </w:t>
            </w:r>
            <w:r w:rsidRPr="00BB0086">
              <w:rPr>
                <w:rFonts w:ascii="Verdana" w:eastAsia="Times New Roman" w:hAnsi="Verdana"/>
                <w:sz w:val="20"/>
                <w:szCs w:val="20"/>
              </w:rPr>
              <w:t>3</w:t>
            </w:r>
            <w:r w:rsidRPr="00BB0086">
              <w:rPr>
                <w:rFonts w:ascii="Verdana" w:eastAsia="Times New Roman" w:hAnsi="Verdana"/>
                <w:sz w:val="20"/>
                <w:szCs w:val="20"/>
              </w:rPr>
              <w:t>5–</w:t>
            </w:r>
            <w:r w:rsidRPr="00BB0086">
              <w:rPr>
                <w:rFonts w:ascii="Verdana" w:eastAsia="Times New Roman" w:hAnsi="Verdana"/>
                <w:sz w:val="20"/>
                <w:szCs w:val="20"/>
              </w:rPr>
              <w:t>4</w:t>
            </w:r>
            <w:r w:rsidRPr="00BB0086">
              <w:rPr>
                <w:rFonts w:ascii="Verdana" w:eastAsia="Times New Roman" w:hAnsi="Verdana"/>
                <w:sz w:val="20"/>
                <w:szCs w:val="20"/>
              </w:rPr>
              <w:t>4</w:t>
            </w:r>
          </w:p>
        </w:tc>
        <w:tc>
          <w:tcPr>
            <w:tcW w:w="990" w:type="dxa"/>
            <w:tcBorders>
              <w:top w:val="single" w:sz="4" w:space="0" w:color="000000"/>
              <w:left w:val="single" w:sz="8" w:space="0" w:color="000000"/>
              <w:bottom w:val="single" w:sz="4" w:space="0" w:color="000000"/>
              <w:right w:val="single" w:sz="8" w:space="0" w:color="000000"/>
            </w:tcBorders>
            <w:shd w:val="clear" w:color="auto" w:fill="EAF1DD" w:themeFill="accent3" w:themeFillTint="33"/>
            <w:vAlign w:val="center"/>
          </w:tcPr>
          <w:p w14:paraId="69D3874A" w14:textId="68F6AC2C"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20.7%</w:t>
            </w:r>
          </w:p>
        </w:tc>
        <w:tc>
          <w:tcPr>
            <w:tcW w:w="990" w:type="dxa"/>
            <w:tcBorders>
              <w:top w:val="single" w:sz="4" w:space="0" w:color="000000"/>
              <w:left w:val="single" w:sz="8" w:space="0" w:color="000000"/>
              <w:bottom w:val="single" w:sz="4" w:space="0" w:color="000000"/>
              <w:right w:val="single" w:sz="12" w:space="0" w:color="000000"/>
            </w:tcBorders>
            <w:shd w:val="clear" w:color="auto" w:fill="EAF1DD" w:themeFill="accent3" w:themeFillTint="33"/>
            <w:vAlign w:val="center"/>
          </w:tcPr>
          <w:p w14:paraId="72FA0353" w14:textId="345E58EE"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116</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C5E7CC9" w14:textId="51846E08"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12.8%</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4FE6321D" w14:textId="6101FF9A"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87</w:t>
            </w:r>
          </w:p>
        </w:tc>
        <w:tc>
          <w:tcPr>
            <w:tcW w:w="990" w:type="dxa"/>
            <w:tcBorders>
              <w:top w:val="single" w:sz="4" w:space="0" w:color="000000"/>
              <w:left w:val="single" w:sz="8" w:space="0" w:color="000000"/>
              <w:bottom w:val="single" w:sz="4" w:space="0" w:color="000000"/>
              <w:right w:val="single" w:sz="8" w:space="0" w:color="auto"/>
            </w:tcBorders>
            <w:vAlign w:val="center"/>
          </w:tcPr>
          <w:p w14:paraId="31E3BE83" w14:textId="1580DDE5"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10.8%</w:t>
            </w:r>
          </w:p>
        </w:tc>
        <w:tc>
          <w:tcPr>
            <w:tcW w:w="990" w:type="dxa"/>
            <w:tcBorders>
              <w:top w:val="single" w:sz="4" w:space="0" w:color="000000"/>
              <w:left w:val="single" w:sz="8" w:space="0" w:color="auto"/>
              <w:bottom w:val="single" w:sz="4" w:space="0" w:color="000000"/>
              <w:right w:val="single" w:sz="12" w:space="0" w:color="000000"/>
            </w:tcBorders>
            <w:vAlign w:val="center"/>
          </w:tcPr>
          <w:p w14:paraId="0D59BCA2" w14:textId="5E06EC58"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62</w:t>
            </w:r>
          </w:p>
        </w:tc>
        <w:tc>
          <w:tcPr>
            <w:tcW w:w="1001" w:type="dxa"/>
            <w:tcBorders>
              <w:top w:val="single" w:sz="4" w:space="0" w:color="000000"/>
              <w:left w:val="single" w:sz="8" w:space="0" w:color="auto"/>
              <w:bottom w:val="single" w:sz="4" w:space="0" w:color="000000"/>
              <w:right w:val="single" w:sz="8" w:space="0" w:color="auto"/>
            </w:tcBorders>
            <w:shd w:val="clear" w:color="auto" w:fill="EAF1DD" w:themeFill="accent3" w:themeFillTint="33"/>
            <w:vAlign w:val="center"/>
          </w:tcPr>
          <w:p w14:paraId="35B2B6EE" w14:textId="56A960FB"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18.7%</w:t>
            </w:r>
          </w:p>
        </w:tc>
        <w:tc>
          <w:tcPr>
            <w:tcW w:w="979" w:type="dxa"/>
            <w:tcBorders>
              <w:top w:val="single" w:sz="4" w:space="0" w:color="000000"/>
              <w:left w:val="single" w:sz="8" w:space="0" w:color="auto"/>
              <w:bottom w:val="single" w:sz="4" w:space="0" w:color="000000"/>
              <w:right w:val="single" w:sz="12" w:space="0" w:color="000000"/>
            </w:tcBorders>
            <w:shd w:val="clear" w:color="auto" w:fill="EAF1DD" w:themeFill="accent3" w:themeFillTint="33"/>
            <w:vAlign w:val="center"/>
          </w:tcPr>
          <w:p w14:paraId="0A384196" w14:textId="35336173"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96</w:t>
            </w:r>
          </w:p>
        </w:tc>
      </w:tr>
      <w:tr w:rsidR="006251C0" w:rsidRPr="00BB0086" w14:paraId="24AB855E" w14:textId="430C4951"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7D4D7F70" w14:textId="3369BC17"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 xml:space="preserve">Age, </w:t>
            </w:r>
            <w:r w:rsidRPr="00BB0086">
              <w:rPr>
                <w:rFonts w:ascii="Verdana" w:eastAsia="Times New Roman" w:hAnsi="Verdana"/>
                <w:sz w:val="20"/>
                <w:szCs w:val="20"/>
              </w:rPr>
              <w:t>4</w:t>
            </w:r>
            <w:r w:rsidRPr="00BB0086">
              <w:rPr>
                <w:rFonts w:ascii="Verdana" w:eastAsia="Times New Roman" w:hAnsi="Verdana"/>
                <w:sz w:val="20"/>
                <w:szCs w:val="20"/>
              </w:rPr>
              <w:t>5–</w:t>
            </w:r>
            <w:r w:rsidRPr="00BB0086">
              <w:rPr>
                <w:rFonts w:ascii="Verdana" w:eastAsia="Times New Roman" w:hAnsi="Verdana"/>
                <w:sz w:val="20"/>
                <w:szCs w:val="20"/>
              </w:rPr>
              <w:t>49</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11ED843" w14:textId="0305E6FD"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4.7%</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75B3D76" w14:textId="54140873"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51</w:t>
            </w:r>
          </w:p>
        </w:tc>
        <w:tc>
          <w:tcPr>
            <w:tcW w:w="990" w:type="dxa"/>
            <w:tcBorders>
              <w:top w:val="single" w:sz="4" w:space="0" w:color="000000"/>
              <w:left w:val="single" w:sz="8" w:space="0" w:color="000000"/>
              <w:bottom w:val="single" w:sz="4" w:space="0" w:color="000000"/>
              <w:right w:val="single" w:sz="8" w:space="0" w:color="000000"/>
            </w:tcBorders>
            <w:shd w:val="clear" w:color="auto" w:fill="EAF1DD" w:themeFill="accent3" w:themeFillTint="33"/>
            <w:vAlign w:val="center"/>
          </w:tcPr>
          <w:p w14:paraId="42519768" w14:textId="26D3B0F2"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13.2%</w:t>
            </w:r>
          </w:p>
        </w:tc>
        <w:tc>
          <w:tcPr>
            <w:tcW w:w="990" w:type="dxa"/>
            <w:tcBorders>
              <w:top w:val="single" w:sz="4" w:space="0" w:color="000000"/>
              <w:left w:val="single" w:sz="8" w:space="0" w:color="000000"/>
              <w:bottom w:val="single" w:sz="4" w:space="0" w:color="000000"/>
              <w:right w:val="single" w:sz="12" w:space="0" w:color="000000"/>
            </w:tcBorders>
            <w:shd w:val="clear" w:color="auto" w:fill="EAF1DD" w:themeFill="accent3" w:themeFillTint="33"/>
            <w:vAlign w:val="center"/>
          </w:tcPr>
          <w:p w14:paraId="4F2A4BD2" w14:textId="68D11414"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157</w:t>
            </w:r>
          </w:p>
        </w:tc>
        <w:tc>
          <w:tcPr>
            <w:tcW w:w="990" w:type="dxa"/>
            <w:tcBorders>
              <w:top w:val="single" w:sz="4" w:space="0" w:color="000000"/>
              <w:left w:val="single" w:sz="8" w:space="0" w:color="000000"/>
              <w:bottom w:val="single" w:sz="4" w:space="0" w:color="000000"/>
              <w:right w:val="single" w:sz="8" w:space="0" w:color="auto"/>
            </w:tcBorders>
            <w:vAlign w:val="center"/>
          </w:tcPr>
          <w:p w14:paraId="56794AB4" w14:textId="5FE54D6F"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3.9%</w:t>
            </w:r>
          </w:p>
        </w:tc>
        <w:tc>
          <w:tcPr>
            <w:tcW w:w="990" w:type="dxa"/>
            <w:tcBorders>
              <w:top w:val="single" w:sz="4" w:space="0" w:color="000000"/>
              <w:left w:val="single" w:sz="8" w:space="0" w:color="auto"/>
              <w:bottom w:val="single" w:sz="4" w:space="0" w:color="000000"/>
              <w:right w:val="single" w:sz="12" w:space="0" w:color="000000"/>
            </w:tcBorders>
            <w:vAlign w:val="center"/>
          </w:tcPr>
          <w:p w14:paraId="5D64E8B9" w14:textId="6083365B"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43</w:t>
            </w:r>
          </w:p>
        </w:tc>
        <w:tc>
          <w:tcPr>
            <w:tcW w:w="1001" w:type="dxa"/>
            <w:tcBorders>
              <w:top w:val="single" w:sz="4" w:space="0" w:color="000000"/>
              <w:left w:val="single" w:sz="8" w:space="0" w:color="auto"/>
              <w:bottom w:val="single" w:sz="4" w:space="0" w:color="000000"/>
              <w:right w:val="single" w:sz="8" w:space="0" w:color="auto"/>
            </w:tcBorders>
            <w:vAlign w:val="center"/>
          </w:tcPr>
          <w:p w14:paraId="13BFCCFC" w14:textId="03B2C3E6"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8.0%</w:t>
            </w:r>
          </w:p>
        </w:tc>
        <w:tc>
          <w:tcPr>
            <w:tcW w:w="979" w:type="dxa"/>
            <w:tcBorders>
              <w:top w:val="single" w:sz="4" w:space="0" w:color="000000"/>
              <w:left w:val="single" w:sz="8" w:space="0" w:color="auto"/>
              <w:bottom w:val="single" w:sz="4" w:space="0" w:color="000000"/>
              <w:right w:val="single" w:sz="12" w:space="0" w:color="000000"/>
            </w:tcBorders>
            <w:vAlign w:val="center"/>
          </w:tcPr>
          <w:p w14:paraId="4965741A" w14:textId="59FE9D6A"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88</w:t>
            </w:r>
          </w:p>
        </w:tc>
      </w:tr>
      <w:tr w:rsidR="006251C0" w:rsidRPr="00BB0086" w14:paraId="5CEA2C38" w14:textId="0C552AF4"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632824F6" w14:textId="496B00B6"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 xml:space="preserve">Age, </w:t>
            </w:r>
            <w:r w:rsidRPr="00BB0086">
              <w:rPr>
                <w:rFonts w:ascii="Verdana" w:eastAsia="Times New Roman" w:hAnsi="Verdana"/>
                <w:sz w:val="20"/>
                <w:szCs w:val="20"/>
              </w:rPr>
              <w:t>50</w:t>
            </w:r>
            <w:r w:rsidRPr="00BB0086">
              <w:rPr>
                <w:rFonts w:ascii="Verdana" w:eastAsia="Times New Roman" w:hAnsi="Verdana"/>
                <w:sz w:val="20"/>
                <w:szCs w:val="20"/>
              </w:rPr>
              <w:t>–</w:t>
            </w:r>
            <w:r w:rsidRPr="00BB0086">
              <w:rPr>
                <w:rFonts w:ascii="Verdana" w:eastAsia="Times New Roman" w:hAnsi="Verdana"/>
                <w:sz w:val="20"/>
                <w:szCs w:val="20"/>
              </w:rPr>
              <w:t>5</w:t>
            </w:r>
            <w:r w:rsidRPr="00BB0086">
              <w:rPr>
                <w:rFonts w:ascii="Verdana" w:eastAsia="Times New Roman" w:hAnsi="Verdana"/>
                <w:sz w:val="20"/>
                <w:szCs w:val="20"/>
              </w:rPr>
              <w:t>4</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61EEBF4" w14:textId="66765937"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5.0%</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B4EA969" w14:textId="4EB510E1"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53</w:t>
            </w:r>
          </w:p>
        </w:tc>
        <w:tc>
          <w:tcPr>
            <w:tcW w:w="990" w:type="dxa"/>
            <w:tcBorders>
              <w:top w:val="single" w:sz="4" w:space="0" w:color="000000"/>
              <w:left w:val="single" w:sz="8" w:space="0" w:color="000000"/>
              <w:bottom w:val="single" w:sz="4" w:space="0" w:color="000000"/>
              <w:right w:val="single" w:sz="8" w:space="0" w:color="000000"/>
            </w:tcBorders>
            <w:shd w:val="clear" w:color="auto" w:fill="EAF1DD" w:themeFill="accent3" w:themeFillTint="33"/>
            <w:vAlign w:val="center"/>
          </w:tcPr>
          <w:p w14:paraId="53C5FCB5" w14:textId="1F76E402"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11.6%</w:t>
            </w:r>
          </w:p>
        </w:tc>
        <w:tc>
          <w:tcPr>
            <w:tcW w:w="990" w:type="dxa"/>
            <w:tcBorders>
              <w:top w:val="single" w:sz="4" w:space="0" w:color="000000"/>
              <w:left w:val="single" w:sz="8" w:space="0" w:color="000000"/>
              <w:bottom w:val="single" w:sz="4" w:space="0" w:color="000000"/>
              <w:right w:val="single" w:sz="12" w:space="0" w:color="000000"/>
            </w:tcBorders>
            <w:shd w:val="clear" w:color="auto" w:fill="EAF1DD" w:themeFill="accent3" w:themeFillTint="33"/>
            <w:vAlign w:val="center"/>
          </w:tcPr>
          <w:p w14:paraId="6D7C843E" w14:textId="202796E8"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131</w:t>
            </w:r>
          </w:p>
        </w:tc>
        <w:tc>
          <w:tcPr>
            <w:tcW w:w="990" w:type="dxa"/>
            <w:tcBorders>
              <w:top w:val="single" w:sz="4" w:space="0" w:color="000000"/>
              <w:left w:val="single" w:sz="8" w:space="0" w:color="000000"/>
              <w:bottom w:val="single" w:sz="4" w:space="0" w:color="000000"/>
              <w:right w:val="single" w:sz="8" w:space="0" w:color="auto"/>
            </w:tcBorders>
            <w:shd w:val="clear" w:color="auto" w:fill="EAF1DD" w:themeFill="accent3" w:themeFillTint="33"/>
            <w:vAlign w:val="center"/>
          </w:tcPr>
          <w:p w14:paraId="0C5A0077" w14:textId="7FC8489C"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18.9%</w:t>
            </w:r>
          </w:p>
        </w:tc>
        <w:tc>
          <w:tcPr>
            <w:tcW w:w="990" w:type="dxa"/>
            <w:tcBorders>
              <w:top w:val="single" w:sz="4" w:space="0" w:color="000000"/>
              <w:left w:val="single" w:sz="8" w:space="0" w:color="auto"/>
              <w:bottom w:val="single" w:sz="4" w:space="0" w:color="000000"/>
              <w:right w:val="single" w:sz="12" w:space="0" w:color="000000"/>
            </w:tcBorders>
            <w:shd w:val="clear" w:color="auto" w:fill="EAF1DD" w:themeFill="accent3" w:themeFillTint="33"/>
            <w:vAlign w:val="center"/>
          </w:tcPr>
          <w:p w14:paraId="3BC74A21" w14:textId="4E6EA366"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205</w:t>
            </w:r>
          </w:p>
        </w:tc>
        <w:tc>
          <w:tcPr>
            <w:tcW w:w="1001" w:type="dxa"/>
            <w:tcBorders>
              <w:top w:val="single" w:sz="4" w:space="0" w:color="000000"/>
              <w:left w:val="single" w:sz="8" w:space="0" w:color="auto"/>
              <w:bottom w:val="single" w:sz="4" w:space="0" w:color="000000"/>
              <w:right w:val="single" w:sz="8" w:space="0" w:color="auto"/>
            </w:tcBorders>
            <w:shd w:val="clear" w:color="auto" w:fill="EAF1DD" w:themeFill="accent3" w:themeFillTint="33"/>
            <w:vAlign w:val="center"/>
          </w:tcPr>
          <w:p w14:paraId="480C8CB0" w14:textId="33C233A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15.7%</w:t>
            </w:r>
          </w:p>
        </w:tc>
        <w:tc>
          <w:tcPr>
            <w:tcW w:w="979" w:type="dxa"/>
            <w:tcBorders>
              <w:top w:val="single" w:sz="4" w:space="0" w:color="000000"/>
              <w:left w:val="single" w:sz="8" w:space="0" w:color="auto"/>
              <w:bottom w:val="single" w:sz="4" w:space="0" w:color="000000"/>
              <w:right w:val="single" w:sz="12" w:space="0" w:color="000000"/>
            </w:tcBorders>
            <w:shd w:val="clear" w:color="auto" w:fill="EAF1DD" w:themeFill="accent3" w:themeFillTint="33"/>
            <w:vAlign w:val="center"/>
          </w:tcPr>
          <w:p w14:paraId="3A5D97A6" w14:textId="6CE0C727"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183</w:t>
            </w:r>
          </w:p>
        </w:tc>
      </w:tr>
      <w:tr w:rsidR="006251C0" w:rsidRPr="00BB0086" w14:paraId="1F46E256" w14:textId="7B0CBC05"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EAF3730" w14:textId="19232B24"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 xml:space="preserve">Age, </w:t>
            </w:r>
            <w:r w:rsidRPr="00BB0086">
              <w:rPr>
                <w:rFonts w:ascii="Verdana" w:eastAsia="Times New Roman" w:hAnsi="Verdana"/>
                <w:sz w:val="20"/>
                <w:szCs w:val="20"/>
              </w:rPr>
              <w:t>5</w:t>
            </w:r>
            <w:r w:rsidRPr="00BB0086">
              <w:rPr>
                <w:rFonts w:ascii="Verdana" w:eastAsia="Times New Roman" w:hAnsi="Verdana"/>
                <w:sz w:val="20"/>
                <w:szCs w:val="20"/>
              </w:rPr>
              <w:t>5–</w:t>
            </w:r>
            <w:r w:rsidRPr="00BB0086">
              <w:rPr>
                <w:rFonts w:ascii="Verdana" w:eastAsia="Times New Roman" w:hAnsi="Verdana"/>
                <w:sz w:val="20"/>
                <w:szCs w:val="20"/>
              </w:rPr>
              <w:t>6</w:t>
            </w:r>
            <w:r w:rsidRPr="00BB0086">
              <w:rPr>
                <w:rFonts w:ascii="Verdana" w:eastAsia="Times New Roman" w:hAnsi="Verdana"/>
                <w:sz w:val="20"/>
                <w:szCs w:val="20"/>
              </w:rPr>
              <w:t>4</w:t>
            </w:r>
          </w:p>
        </w:tc>
        <w:tc>
          <w:tcPr>
            <w:tcW w:w="990" w:type="dxa"/>
            <w:tcBorders>
              <w:top w:val="single" w:sz="4" w:space="0" w:color="000000"/>
              <w:left w:val="single" w:sz="8" w:space="0" w:color="000000"/>
              <w:bottom w:val="single" w:sz="4" w:space="0" w:color="000000"/>
              <w:right w:val="single" w:sz="8" w:space="0" w:color="000000"/>
            </w:tcBorders>
            <w:shd w:val="clear" w:color="auto" w:fill="EAF1DD" w:themeFill="accent3" w:themeFillTint="33"/>
            <w:vAlign w:val="center"/>
          </w:tcPr>
          <w:p w14:paraId="42E4F3EB" w14:textId="77B9A1ED"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24.6%</w:t>
            </w:r>
          </w:p>
        </w:tc>
        <w:tc>
          <w:tcPr>
            <w:tcW w:w="990" w:type="dxa"/>
            <w:tcBorders>
              <w:top w:val="single" w:sz="4" w:space="0" w:color="000000"/>
              <w:left w:val="single" w:sz="8" w:space="0" w:color="000000"/>
              <w:bottom w:val="single" w:sz="4" w:space="0" w:color="000000"/>
              <w:right w:val="single" w:sz="12" w:space="0" w:color="000000"/>
            </w:tcBorders>
            <w:shd w:val="clear" w:color="auto" w:fill="EAF1DD" w:themeFill="accent3" w:themeFillTint="33"/>
            <w:vAlign w:val="center"/>
          </w:tcPr>
          <w:p w14:paraId="646E6326" w14:textId="1D113894"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153</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9DE8E67" w14:textId="7D179794"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12.4%</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A0A114F" w14:textId="7C70EF59"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72</w:t>
            </w:r>
          </w:p>
        </w:tc>
        <w:tc>
          <w:tcPr>
            <w:tcW w:w="990" w:type="dxa"/>
            <w:tcBorders>
              <w:top w:val="single" w:sz="4" w:space="0" w:color="000000"/>
              <w:left w:val="single" w:sz="8" w:space="0" w:color="000000"/>
              <w:bottom w:val="single" w:sz="4" w:space="0" w:color="000000"/>
              <w:right w:val="single" w:sz="8" w:space="0" w:color="auto"/>
            </w:tcBorders>
            <w:shd w:val="clear" w:color="auto" w:fill="EAF1DD" w:themeFill="accent3" w:themeFillTint="33"/>
            <w:vAlign w:val="center"/>
          </w:tcPr>
          <w:p w14:paraId="2463BF0C" w14:textId="3441B663"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20.9%</w:t>
            </w:r>
          </w:p>
        </w:tc>
        <w:tc>
          <w:tcPr>
            <w:tcW w:w="990" w:type="dxa"/>
            <w:tcBorders>
              <w:top w:val="single" w:sz="4" w:space="0" w:color="000000"/>
              <w:left w:val="single" w:sz="8" w:space="0" w:color="auto"/>
              <w:bottom w:val="single" w:sz="4" w:space="0" w:color="000000"/>
              <w:right w:val="single" w:sz="12" w:space="0" w:color="000000"/>
            </w:tcBorders>
            <w:shd w:val="clear" w:color="auto" w:fill="EAF1DD" w:themeFill="accent3" w:themeFillTint="33"/>
            <w:vAlign w:val="center"/>
          </w:tcPr>
          <w:p w14:paraId="3EC8AC69" w14:textId="433EA138"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122</w:t>
            </w:r>
          </w:p>
        </w:tc>
        <w:tc>
          <w:tcPr>
            <w:tcW w:w="1001" w:type="dxa"/>
            <w:tcBorders>
              <w:top w:val="single" w:sz="4" w:space="0" w:color="000000"/>
              <w:left w:val="single" w:sz="8" w:space="0" w:color="auto"/>
              <w:bottom w:val="single" w:sz="4" w:space="0" w:color="000000"/>
              <w:right w:val="single" w:sz="8" w:space="0" w:color="auto"/>
            </w:tcBorders>
            <w:vAlign w:val="center"/>
          </w:tcPr>
          <w:p w14:paraId="16DC4506" w14:textId="00895A65"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11.8%</w:t>
            </w:r>
          </w:p>
        </w:tc>
        <w:tc>
          <w:tcPr>
            <w:tcW w:w="979" w:type="dxa"/>
            <w:tcBorders>
              <w:top w:val="single" w:sz="4" w:space="0" w:color="000000"/>
              <w:left w:val="single" w:sz="8" w:space="0" w:color="auto"/>
              <w:bottom w:val="single" w:sz="4" w:space="0" w:color="000000"/>
              <w:right w:val="single" w:sz="12" w:space="0" w:color="000000"/>
            </w:tcBorders>
            <w:vAlign w:val="center"/>
          </w:tcPr>
          <w:p w14:paraId="3295F83D" w14:textId="0EB69160"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82</w:t>
            </w:r>
          </w:p>
        </w:tc>
      </w:tr>
      <w:tr w:rsidR="006251C0" w:rsidRPr="00BB0086" w14:paraId="26ED24D0" w14:textId="30620125"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7D65C086" w14:textId="676928E0"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 xml:space="preserve">Age, </w:t>
            </w:r>
            <w:r w:rsidRPr="00BB0086">
              <w:rPr>
                <w:rFonts w:ascii="Verdana" w:eastAsia="Times New Roman" w:hAnsi="Verdana"/>
                <w:sz w:val="20"/>
                <w:szCs w:val="20"/>
              </w:rPr>
              <w:t>6</w:t>
            </w:r>
            <w:r w:rsidRPr="00BB0086">
              <w:rPr>
                <w:rFonts w:ascii="Verdana" w:eastAsia="Times New Roman" w:hAnsi="Verdana"/>
                <w:sz w:val="20"/>
                <w:szCs w:val="20"/>
              </w:rPr>
              <w:t>5–</w:t>
            </w:r>
            <w:r w:rsidRPr="00BB0086">
              <w:rPr>
                <w:rFonts w:ascii="Verdana" w:eastAsia="Times New Roman" w:hAnsi="Verdana"/>
                <w:sz w:val="20"/>
                <w:szCs w:val="20"/>
              </w:rPr>
              <w:t>7</w:t>
            </w:r>
            <w:r w:rsidRPr="00BB0086">
              <w:rPr>
                <w:rFonts w:ascii="Verdana" w:eastAsia="Times New Roman" w:hAnsi="Verdana"/>
                <w:sz w:val="20"/>
                <w:szCs w:val="20"/>
              </w:rPr>
              <w:t>4</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97D93A" w14:textId="7264E1E6"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11.3%</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3756C59" w14:textId="6DDDC647"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119</w:t>
            </w:r>
          </w:p>
        </w:tc>
        <w:tc>
          <w:tcPr>
            <w:tcW w:w="990" w:type="dxa"/>
            <w:tcBorders>
              <w:top w:val="single" w:sz="4" w:space="0" w:color="000000"/>
              <w:left w:val="single" w:sz="8" w:space="0" w:color="000000"/>
              <w:bottom w:val="single" w:sz="4" w:space="0" w:color="000000"/>
              <w:right w:val="single" w:sz="8" w:space="0" w:color="000000"/>
            </w:tcBorders>
            <w:shd w:val="clear" w:color="auto" w:fill="EAF1DD" w:themeFill="accent3" w:themeFillTint="33"/>
            <w:vAlign w:val="center"/>
          </w:tcPr>
          <w:p w14:paraId="3ACA69D9" w14:textId="7D44E73D"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23.8%</w:t>
            </w:r>
          </w:p>
        </w:tc>
        <w:tc>
          <w:tcPr>
            <w:tcW w:w="990" w:type="dxa"/>
            <w:tcBorders>
              <w:top w:val="single" w:sz="4" w:space="0" w:color="000000"/>
              <w:left w:val="single" w:sz="8" w:space="0" w:color="000000"/>
              <w:bottom w:val="single" w:sz="4" w:space="0" w:color="000000"/>
              <w:right w:val="single" w:sz="12" w:space="0" w:color="000000"/>
            </w:tcBorders>
            <w:shd w:val="clear" w:color="auto" w:fill="EAF1DD" w:themeFill="accent3" w:themeFillTint="33"/>
            <w:vAlign w:val="center"/>
          </w:tcPr>
          <w:p w14:paraId="024B89AB" w14:textId="44AB2123"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167</w:t>
            </w:r>
          </w:p>
        </w:tc>
        <w:tc>
          <w:tcPr>
            <w:tcW w:w="990" w:type="dxa"/>
            <w:tcBorders>
              <w:top w:val="single" w:sz="4" w:space="0" w:color="000000"/>
              <w:left w:val="single" w:sz="8" w:space="0" w:color="000000"/>
              <w:bottom w:val="single" w:sz="4" w:space="0" w:color="000000"/>
              <w:right w:val="single" w:sz="8" w:space="0" w:color="auto"/>
            </w:tcBorders>
            <w:vAlign w:val="center"/>
          </w:tcPr>
          <w:p w14:paraId="4E11F83E" w14:textId="76E5A87E"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8.4%</w:t>
            </w:r>
          </w:p>
        </w:tc>
        <w:tc>
          <w:tcPr>
            <w:tcW w:w="990" w:type="dxa"/>
            <w:tcBorders>
              <w:top w:val="single" w:sz="4" w:space="0" w:color="000000"/>
              <w:left w:val="single" w:sz="8" w:space="0" w:color="auto"/>
              <w:bottom w:val="single" w:sz="4" w:space="0" w:color="000000"/>
              <w:right w:val="single" w:sz="12" w:space="0" w:color="000000"/>
            </w:tcBorders>
            <w:vAlign w:val="center"/>
          </w:tcPr>
          <w:p w14:paraId="72E5B6C5" w14:textId="6F217D9A"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81</w:t>
            </w:r>
          </w:p>
        </w:tc>
        <w:tc>
          <w:tcPr>
            <w:tcW w:w="1001" w:type="dxa"/>
            <w:tcBorders>
              <w:top w:val="single" w:sz="4" w:space="0" w:color="000000"/>
              <w:left w:val="single" w:sz="8" w:space="0" w:color="auto"/>
              <w:bottom w:val="single" w:sz="4" w:space="0" w:color="000000"/>
              <w:right w:val="single" w:sz="8" w:space="0" w:color="auto"/>
            </w:tcBorders>
            <w:vAlign w:val="center"/>
          </w:tcPr>
          <w:p w14:paraId="034D8293" w14:textId="3BA86756"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1.6%</w:t>
            </w:r>
          </w:p>
        </w:tc>
        <w:tc>
          <w:tcPr>
            <w:tcW w:w="979" w:type="dxa"/>
            <w:tcBorders>
              <w:top w:val="single" w:sz="4" w:space="0" w:color="000000"/>
              <w:left w:val="single" w:sz="8" w:space="0" w:color="auto"/>
              <w:bottom w:val="single" w:sz="4" w:space="0" w:color="000000"/>
              <w:right w:val="single" w:sz="12" w:space="0" w:color="000000"/>
            </w:tcBorders>
            <w:vAlign w:val="center"/>
          </w:tcPr>
          <w:p w14:paraId="3AD2A7C2" w14:textId="4A4B38D6"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w:t>
            </w:r>
          </w:p>
        </w:tc>
      </w:tr>
      <w:tr w:rsidR="006251C0" w:rsidRPr="00BB0086" w14:paraId="131F18E4" w14:textId="1E1F96AF" w:rsidTr="00E94E62">
        <w:tblPrEx>
          <w:tblBorders>
            <w:top w:val="none" w:sz="0" w:space="0" w:color="auto"/>
          </w:tblBorders>
        </w:tblPrEx>
        <w:trPr>
          <w:jc w:val="center"/>
        </w:trPr>
        <w:tc>
          <w:tcPr>
            <w:tcW w:w="2415" w:type="dxa"/>
            <w:tcBorders>
              <w:top w:val="single" w:sz="4" w:space="0" w:color="000000"/>
              <w:left w:val="single" w:sz="12" w:space="0" w:color="000000"/>
              <w:bottom w:val="single" w:sz="12" w:space="0" w:color="auto"/>
              <w:right w:val="single" w:sz="18" w:space="0" w:color="000000"/>
            </w:tcBorders>
            <w:shd w:val="clear" w:color="auto" w:fill="auto"/>
            <w:vAlign w:val="center"/>
          </w:tcPr>
          <w:p w14:paraId="72AA022C" w14:textId="196DC787"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Age, 75+</w:t>
            </w:r>
          </w:p>
        </w:tc>
        <w:tc>
          <w:tcPr>
            <w:tcW w:w="990" w:type="dxa"/>
            <w:tcBorders>
              <w:top w:val="single" w:sz="4" w:space="0" w:color="000000"/>
              <w:left w:val="single" w:sz="8" w:space="0" w:color="000000"/>
              <w:bottom w:val="single" w:sz="12" w:space="0" w:color="auto"/>
              <w:right w:val="single" w:sz="8" w:space="0" w:color="000000"/>
            </w:tcBorders>
            <w:shd w:val="clear" w:color="auto" w:fill="auto"/>
            <w:vAlign w:val="center"/>
          </w:tcPr>
          <w:p w14:paraId="7F22552E" w14:textId="3398D1AA"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2.9%</w:t>
            </w:r>
          </w:p>
        </w:tc>
        <w:tc>
          <w:tcPr>
            <w:tcW w:w="990" w:type="dxa"/>
            <w:tcBorders>
              <w:top w:val="single" w:sz="4" w:space="0" w:color="000000"/>
              <w:left w:val="single" w:sz="8" w:space="0" w:color="000000"/>
              <w:bottom w:val="single" w:sz="12" w:space="0" w:color="auto"/>
              <w:right w:val="single" w:sz="12" w:space="0" w:color="000000"/>
            </w:tcBorders>
            <w:shd w:val="clear" w:color="auto" w:fill="auto"/>
            <w:vAlign w:val="center"/>
          </w:tcPr>
          <w:p w14:paraId="632AC802" w14:textId="6D4BF802"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40</w:t>
            </w:r>
          </w:p>
        </w:tc>
        <w:tc>
          <w:tcPr>
            <w:tcW w:w="990" w:type="dxa"/>
            <w:tcBorders>
              <w:top w:val="single" w:sz="4" w:space="0" w:color="000000"/>
              <w:left w:val="single" w:sz="8" w:space="0" w:color="000000"/>
              <w:bottom w:val="single" w:sz="12" w:space="0" w:color="auto"/>
              <w:right w:val="single" w:sz="8" w:space="0" w:color="000000"/>
            </w:tcBorders>
            <w:shd w:val="clear" w:color="auto" w:fill="auto"/>
            <w:vAlign w:val="center"/>
          </w:tcPr>
          <w:p w14:paraId="7B47F021" w14:textId="20C14B3F"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6.8%</w:t>
            </w:r>
          </w:p>
        </w:tc>
        <w:tc>
          <w:tcPr>
            <w:tcW w:w="990" w:type="dxa"/>
            <w:tcBorders>
              <w:top w:val="single" w:sz="4" w:space="0" w:color="000000"/>
              <w:left w:val="single" w:sz="8" w:space="0" w:color="000000"/>
              <w:bottom w:val="single" w:sz="12" w:space="0" w:color="auto"/>
              <w:right w:val="single" w:sz="12" w:space="0" w:color="000000"/>
            </w:tcBorders>
            <w:shd w:val="clear" w:color="auto" w:fill="auto"/>
            <w:vAlign w:val="center"/>
          </w:tcPr>
          <w:p w14:paraId="11D4286A" w14:textId="2160A1C1"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55</w:t>
            </w:r>
          </w:p>
        </w:tc>
        <w:tc>
          <w:tcPr>
            <w:tcW w:w="990" w:type="dxa"/>
            <w:tcBorders>
              <w:top w:val="single" w:sz="4" w:space="0" w:color="000000"/>
              <w:left w:val="single" w:sz="8" w:space="0" w:color="000000"/>
              <w:bottom w:val="single" w:sz="12" w:space="0" w:color="auto"/>
              <w:right w:val="single" w:sz="8" w:space="0" w:color="auto"/>
            </w:tcBorders>
            <w:vAlign w:val="center"/>
          </w:tcPr>
          <w:p w14:paraId="51EB61E4" w14:textId="44554C13"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4.6%</w:t>
            </w:r>
          </w:p>
        </w:tc>
        <w:tc>
          <w:tcPr>
            <w:tcW w:w="990" w:type="dxa"/>
            <w:tcBorders>
              <w:top w:val="single" w:sz="4" w:space="0" w:color="000000"/>
              <w:left w:val="single" w:sz="8" w:space="0" w:color="auto"/>
              <w:bottom w:val="single" w:sz="12" w:space="0" w:color="auto"/>
              <w:right w:val="single" w:sz="12" w:space="0" w:color="000000"/>
            </w:tcBorders>
            <w:vAlign w:val="center"/>
          </w:tcPr>
          <w:p w14:paraId="08690540" w14:textId="1589414A"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64</w:t>
            </w:r>
          </w:p>
        </w:tc>
        <w:tc>
          <w:tcPr>
            <w:tcW w:w="1001" w:type="dxa"/>
            <w:tcBorders>
              <w:top w:val="single" w:sz="4" w:space="0" w:color="000000"/>
              <w:left w:val="single" w:sz="8" w:space="0" w:color="auto"/>
              <w:bottom w:val="single" w:sz="12" w:space="0" w:color="auto"/>
              <w:right w:val="single" w:sz="8" w:space="0" w:color="auto"/>
            </w:tcBorders>
            <w:vAlign w:val="center"/>
          </w:tcPr>
          <w:p w14:paraId="6D00D020" w14:textId="026C8DC6"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4.0%</w:t>
            </w:r>
          </w:p>
        </w:tc>
        <w:tc>
          <w:tcPr>
            <w:tcW w:w="979" w:type="dxa"/>
            <w:tcBorders>
              <w:top w:val="single" w:sz="4" w:space="0" w:color="000000"/>
              <w:left w:val="single" w:sz="8" w:space="0" w:color="auto"/>
              <w:bottom w:val="single" w:sz="12" w:space="0" w:color="auto"/>
              <w:right w:val="single" w:sz="12" w:space="0" w:color="000000"/>
            </w:tcBorders>
            <w:vAlign w:val="center"/>
          </w:tcPr>
          <w:p w14:paraId="3CE471CB" w14:textId="7FC6B84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74</w:t>
            </w:r>
          </w:p>
        </w:tc>
      </w:tr>
      <w:tr w:rsidR="006251C0" w:rsidRPr="00BB0086" w14:paraId="04A2AB5B" w14:textId="42FF2D71" w:rsidTr="00E94E62">
        <w:tblPrEx>
          <w:tblBorders>
            <w:top w:val="none" w:sz="0" w:space="0" w:color="auto"/>
          </w:tblBorders>
        </w:tblPrEx>
        <w:trPr>
          <w:jc w:val="center"/>
        </w:trPr>
        <w:tc>
          <w:tcPr>
            <w:tcW w:w="2415" w:type="dxa"/>
            <w:tcBorders>
              <w:top w:val="single" w:sz="12" w:space="0" w:color="auto"/>
              <w:left w:val="single" w:sz="12" w:space="0" w:color="000000"/>
              <w:bottom w:val="single" w:sz="4" w:space="0" w:color="000000"/>
              <w:right w:val="single" w:sz="18" w:space="0" w:color="000000"/>
            </w:tcBorders>
            <w:shd w:val="clear" w:color="auto" w:fill="auto"/>
            <w:vAlign w:val="center"/>
          </w:tcPr>
          <w:p w14:paraId="2B0AA704" w14:textId="22BA8580"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Caucasian Americans</w:t>
            </w:r>
          </w:p>
        </w:tc>
        <w:tc>
          <w:tcPr>
            <w:tcW w:w="990" w:type="dxa"/>
            <w:tcBorders>
              <w:top w:val="single" w:sz="12" w:space="0" w:color="auto"/>
              <w:left w:val="single" w:sz="8" w:space="0" w:color="000000"/>
              <w:bottom w:val="single" w:sz="4" w:space="0" w:color="000000"/>
              <w:right w:val="single" w:sz="8" w:space="0" w:color="000000"/>
            </w:tcBorders>
            <w:shd w:val="clear" w:color="auto" w:fill="auto"/>
            <w:vAlign w:val="center"/>
          </w:tcPr>
          <w:p w14:paraId="52B6032B" w14:textId="24D9000B"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66.8%</w:t>
            </w:r>
          </w:p>
        </w:tc>
        <w:tc>
          <w:tcPr>
            <w:tcW w:w="990" w:type="dxa"/>
            <w:tcBorders>
              <w:top w:val="single" w:sz="12" w:space="0" w:color="auto"/>
              <w:left w:val="single" w:sz="8" w:space="0" w:color="000000"/>
              <w:bottom w:val="single" w:sz="4" w:space="0" w:color="000000"/>
              <w:right w:val="single" w:sz="12" w:space="0" w:color="000000"/>
            </w:tcBorders>
            <w:shd w:val="clear" w:color="auto" w:fill="auto"/>
            <w:vAlign w:val="center"/>
          </w:tcPr>
          <w:p w14:paraId="2BA463BC" w14:textId="30053229"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114</w:t>
            </w:r>
          </w:p>
        </w:tc>
        <w:tc>
          <w:tcPr>
            <w:tcW w:w="990" w:type="dxa"/>
            <w:tcBorders>
              <w:top w:val="single" w:sz="12" w:space="0" w:color="auto"/>
              <w:left w:val="single" w:sz="8" w:space="0" w:color="000000"/>
              <w:bottom w:val="single" w:sz="4" w:space="0" w:color="000000"/>
              <w:right w:val="single" w:sz="8" w:space="0" w:color="000000"/>
            </w:tcBorders>
            <w:shd w:val="clear" w:color="auto" w:fill="auto"/>
            <w:vAlign w:val="center"/>
          </w:tcPr>
          <w:p w14:paraId="5C92F857" w14:textId="0422CDAB"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74.9%</w:t>
            </w:r>
          </w:p>
        </w:tc>
        <w:tc>
          <w:tcPr>
            <w:tcW w:w="990" w:type="dxa"/>
            <w:tcBorders>
              <w:top w:val="single" w:sz="12" w:space="0" w:color="auto"/>
              <w:left w:val="single" w:sz="8" w:space="0" w:color="000000"/>
              <w:bottom w:val="single" w:sz="4" w:space="0" w:color="000000"/>
              <w:right w:val="single" w:sz="12" w:space="0" w:color="000000"/>
            </w:tcBorders>
            <w:shd w:val="clear" w:color="auto" w:fill="auto"/>
            <w:vAlign w:val="center"/>
          </w:tcPr>
          <w:p w14:paraId="0D4E01AB" w14:textId="49EBEE2F"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104</w:t>
            </w:r>
          </w:p>
        </w:tc>
        <w:tc>
          <w:tcPr>
            <w:tcW w:w="990" w:type="dxa"/>
            <w:tcBorders>
              <w:top w:val="single" w:sz="12" w:space="0" w:color="auto"/>
              <w:left w:val="single" w:sz="8" w:space="0" w:color="000000"/>
              <w:bottom w:val="single" w:sz="4" w:space="0" w:color="000000"/>
              <w:right w:val="single" w:sz="8" w:space="0" w:color="auto"/>
            </w:tcBorders>
            <w:vAlign w:val="center"/>
          </w:tcPr>
          <w:p w14:paraId="6D059161" w14:textId="1B51F1E1"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78.7%</w:t>
            </w:r>
          </w:p>
        </w:tc>
        <w:tc>
          <w:tcPr>
            <w:tcW w:w="990" w:type="dxa"/>
            <w:tcBorders>
              <w:top w:val="single" w:sz="12" w:space="0" w:color="auto"/>
              <w:left w:val="single" w:sz="8" w:space="0" w:color="auto"/>
              <w:bottom w:val="single" w:sz="4" w:space="0" w:color="000000"/>
              <w:right w:val="single" w:sz="12" w:space="0" w:color="000000"/>
            </w:tcBorders>
            <w:vAlign w:val="center"/>
          </w:tcPr>
          <w:p w14:paraId="52BE9880" w14:textId="13564FA6"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107</w:t>
            </w:r>
          </w:p>
        </w:tc>
        <w:tc>
          <w:tcPr>
            <w:tcW w:w="1001" w:type="dxa"/>
            <w:tcBorders>
              <w:top w:val="single" w:sz="12" w:space="0" w:color="auto"/>
              <w:left w:val="single" w:sz="8" w:space="0" w:color="auto"/>
              <w:bottom w:val="single" w:sz="4" w:space="0" w:color="000000"/>
              <w:right w:val="single" w:sz="8" w:space="0" w:color="auto"/>
            </w:tcBorders>
            <w:vAlign w:val="center"/>
          </w:tcPr>
          <w:p w14:paraId="7312B01B" w14:textId="073F930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61.9%</w:t>
            </w:r>
          </w:p>
        </w:tc>
        <w:tc>
          <w:tcPr>
            <w:tcW w:w="979" w:type="dxa"/>
            <w:tcBorders>
              <w:top w:val="single" w:sz="12" w:space="0" w:color="auto"/>
              <w:left w:val="single" w:sz="8" w:space="0" w:color="auto"/>
              <w:bottom w:val="single" w:sz="4" w:space="0" w:color="000000"/>
              <w:right w:val="single" w:sz="12" w:space="0" w:color="000000"/>
            </w:tcBorders>
            <w:vAlign w:val="center"/>
          </w:tcPr>
          <w:p w14:paraId="527F29AE" w14:textId="493C8392"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105</w:t>
            </w:r>
          </w:p>
        </w:tc>
      </w:tr>
      <w:tr w:rsidR="006251C0" w:rsidRPr="00BB0086" w14:paraId="564F5C94" w14:textId="3CE7B1C1"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6F94784E" w14:textId="0C792ACA"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African Americans</w:t>
            </w:r>
          </w:p>
        </w:tc>
        <w:tc>
          <w:tcPr>
            <w:tcW w:w="990" w:type="dxa"/>
            <w:tcBorders>
              <w:top w:val="single" w:sz="4" w:space="0" w:color="000000"/>
              <w:left w:val="single" w:sz="8" w:space="0" w:color="000000"/>
              <w:bottom w:val="single" w:sz="4" w:space="0" w:color="000000"/>
              <w:right w:val="single" w:sz="8" w:space="0" w:color="000000"/>
            </w:tcBorders>
            <w:shd w:val="clear" w:color="auto" w:fill="DBE5F1" w:themeFill="accent1" w:themeFillTint="33"/>
            <w:vAlign w:val="center"/>
          </w:tcPr>
          <w:p w14:paraId="2DD835A8" w14:textId="59C7D2B7"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12.8%</w:t>
            </w:r>
          </w:p>
        </w:tc>
        <w:tc>
          <w:tcPr>
            <w:tcW w:w="990" w:type="dxa"/>
            <w:tcBorders>
              <w:top w:val="single" w:sz="4" w:space="0" w:color="000000"/>
              <w:left w:val="single" w:sz="8" w:space="0" w:color="000000"/>
              <w:bottom w:val="single" w:sz="4" w:space="0" w:color="000000"/>
              <w:right w:val="single" w:sz="12" w:space="0" w:color="000000"/>
            </w:tcBorders>
            <w:shd w:val="clear" w:color="auto" w:fill="DBE5F1" w:themeFill="accent1" w:themeFillTint="33"/>
            <w:vAlign w:val="center"/>
          </w:tcPr>
          <w:p w14:paraId="5A8F4878" w14:textId="286504EC"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81</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5DC06A6" w14:textId="3D1C1C33"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7.6%</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24F7ED17" w14:textId="1A2CFEC6"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77</w:t>
            </w:r>
          </w:p>
        </w:tc>
        <w:tc>
          <w:tcPr>
            <w:tcW w:w="990" w:type="dxa"/>
            <w:tcBorders>
              <w:top w:val="single" w:sz="4" w:space="0" w:color="000000"/>
              <w:left w:val="single" w:sz="8" w:space="0" w:color="000000"/>
              <w:bottom w:val="single" w:sz="4" w:space="0" w:color="000000"/>
              <w:right w:val="single" w:sz="8" w:space="0" w:color="auto"/>
            </w:tcBorders>
            <w:vAlign w:val="center"/>
          </w:tcPr>
          <w:p w14:paraId="69E9D7F5" w14:textId="6DF0DF2A"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2.7%</w:t>
            </w:r>
          </w:p>
        </w:tc>
        <w:tc>
          <w:tcPr>
            <w:tcW w:w="990" w:type="dxa"/>
            <w:tcBorders>
              <w:top w:val="single" w:sz="4" w:space="0" w:color="000000"/>
              <w:left w:val="single" w:sz="8" w:space="0" w:color="auto"/>
              <w:bottom w:val="single" w:sz="4" w:space="0" w:color="000000"/>
              <w:right w:val="single" w:sz="12" w:space="0" w:color="000000"/>
            </w:tcBorders>
            <w:vAlign w:val="center"/>
          </w:tcPr>
          <w:p w14:paraId="5480EAEB" w14:textId="528F7E72"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64</w:t>
            </w:r>
          </w:p>
        </w:tc>
        <w:tc>
          <w:tcPr>
            <w:tcW w:w="1001" w:type="dxa"/>
            <w:tcBorders>
              <w:top w:val="single" w:sz="4" w:space="0" w:color="000000"/>
              <w:left w:val="single" w:sz="8" w:space="0" w:color="auto"/>
              <w:bottom w:val="single" w:sz="4" w:space="0" w:color="000000"/>
              <w:right w:val="single" w:sz="8" w:space="0" w:color="auto"/>
            </w:tcBorders>
            <w:vAlign w:val="center"/>
          </w:tcPr>
          <w:p w14:paraId="6C47008F" w14:textId="2EC03E3B"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2.7%</w:t>
            </w:r>
          </w:p>
        </w:tc>
        <w:tc>
          <w:tcPr>
            <w:tcW w:w="979" w:type="dxa"/>
            <w:tcBorders>
              <w:top w:val="single" w:sz="4" w:space="0" w:color="000000"/>
              <w:left w:val="single" w:sz="8" w:space="0" w:color="auto"/>
              <w:bottom w:val="single" w:sz="4" w:space="0" w:color="000000"/>
              <w:right w:val="single" w:sz="12" w:space="0" w:color="000000"/>
            </w:tcBorders>
            <w:vAlign w:val="center"/>
          </w:tcPr>
          <w:p w14:paraId="1F9B01B9" w14:textId="0DFB355B"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39</w:t>
            </w:r>
          </w:p>
        </w:tc>
      </w:tr>
      <w:tr w:rsidR="006251C0" w:rsidRPr="00BB0086" w14:paraId="33460953" w14:textId="71054B83"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88EF220" w14:textId="53263382"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Latinx Americans</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EEB73BD" w14:textId="3332AB1D"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6.3%</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59C409C0" w14:textId="2D2DF1D8"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108</w:t>
            </w:r>
          </w:p>
        </w:tc>
        <w:tc>
          <w:tcPr>
            <w:tcW w:w="990" w:type="dxa"/>
            <w:tcBorders>
              <w:top w:val="single" w:sz="4" w:space="0" w:color="000000"/>
              <w:left w:val="single" w:sz="8" w:space="0" w:color="000000"/>
              <w:bottom w:val="single" w:sz="4" w:space="0" w:color="000000"/>
              <w:right w:val="single" w:sz="8" w:space="0" w:color="000000"/>
            </w:tcBorders>
            <w:shd w:val="clear" w:color="auto" w:fill="DBE5F1" w:themeFill="accent1" w:themeFillTint="33"/>
            <w:vAlign w:val="center"/>
          </w:tcPr>
          <w:p w14:paraId="50B700C3" w14:textId="53267267"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12.8%</w:t>
            </w:r>
          </w:p>
        </w:tc>
        <w:tc>
          <w:tcPr>
            <w:tcW w:w="990" w:type="dxa"/>
            <w:tcBorders>
              <w:top w:val="single" w:sz="4" w:space="0" w:color="000000"/>
              <w:left w:val="single" w:sz="8" w:space="0" w:color="000000"/>
              <w:bottom w:val="single" w:sz="4" w:space="0" w:color="000000"/>
              <w:right w:val="single" w:sz="12" w:space="0" w:color="000000"/>
            </w:tcBorders>
            <w:shd w:val="clear" w:color="auto" w:fill="DBE5F1" w:themeFill="accent1" w:themeFillTint="33"/>
            <w:vAlign w:val="center"/>
          </w:tcPr>
          <w:p w14:paraId="17A515E7" w14:textId="61CBCE4B"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89</w:t>
            </w:r>
          </w:p>
        </w:tc>
        <w:tc>
          <w:tcPr>
            <w:tcW w:w="990" w:type="dxa"/>
            <w:tcBorders>
              <w:top w:val="single" w:sz="4" w:space="0" w:color="000000"/>
              <w:left w:val="single" w:sz="8" w:space="0" w:color="000000"/>
              <w:bottom w:val="single" w:sz="4" w:space="0" w:color="000000"/>
              <w:right w:val="single" w:sz="8" w:space="0" w:color="auto"/>
            </w:tcBorders>
            <w:vAlign w:val="center"/>
          </w:tcPr>
          <w:p w14:paraId="10A08414" w14:textId="1225986F"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5.2%</w:t>
            </w:r>
          </w:p>
        </w:tc>
        <w:tc>
          <w:tcPr>
            <w:tcW w:w="990" w:type="dxa"/>
            <w:tcBorders>
              <w:top w:val="single" w:sz="4" w:space="0" w:color="000000"/>
              <w:left w:val="single" w:sz="8" w:space="0" w:color="auto"/>
              <w:bottom w:val="single" w:sz="4" w:space="0" w:color="000000"/>
              <w:right w:val="single" w:sz="12" w:space="0" w:color="000000"/>
            </w:tcBorders>
            <w:vAlign w:val="center"/>
          </w:tcPr>
          <w:p w14:paraId="12D3BCE7" w14:textId="3BAE9ACC"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63</w:t>
            </w:r>
          </w:p>
        </w:tc>
        <w:tc>
          <w:tcPr>
            <w:tcW w:w="1001" w:type="dxa"/>
            <w:tcBorders>
              <w:top w:val="single" w:sz="4" w:space="0" w:color="000000"/>
              <w:left w:val="single" w:sz="8" w:space="0" w:color="auto"/>
              <w:bottom w:val="single" w:sz="4" w:space="0" w:color="000000"/>
              <w:right w:val="single" w:sz="8" w:space="0" w:color="auto"/>
            </w:tcBorders>
            <w:shd w:val="clear" w:color="auto" w:fill="DBE5F1" w:themeFill="accent1" w:themeFillTint="33"/>
            <w:vAlign w:val="center"/>
          </w:tcPr>
          <w:p w14:paraId="7DEA6B0D" w14:textId="15786A8A"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31.0%</w:t>
            </w:r>
          </w:p>
        </w:tc>
        <w:tc>
          <w:tcPr>
            <w:tcW w:w="979" w:type="dxa"/>
            <w:tcBorders>
              <w:top w:val="single" w:sz="4" w:space="0" w:color="000000"/>
              <w:left w:val="single" w:sz="8" w:space="0" w:color="auto"/>
              <w:bottom w:val="single" w:sz="4" w:space="0" w:color="000000"/>
              <w:right w:val="single" w:sz="12" w:space="0" w:color="000000"/>
            </w:tcBorders>
            <w:shd w:val="clear" w:color="auto" w:fill="DBE5F1" w:themeFill="accent1" w:themeFillTint="33"/>
            <w:vAlign w:val="center"/>
          </w:tcPr>
          <w:p w14:paraId="732EC91D" w14:textId="0399E397"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110</w:t>
            </w:r>
          </w:p>
        </w:tc>
      </w:tr>
      <w:tr w:rsidR="006251C0" w:rsidRPr="00BB0086" w14:paraId="7E947E2F" w14:textId="4F6172E6"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BE3533F" w14:textId="5EB84004"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Asian Americans</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AFD570E" w14:textId="19D47423"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6.3%</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54016C48" w14:textId="2B968496"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108</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5A3E8D6" w14:textId="42EC63DF"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3.3%</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C283C0D" w14:textId="38EC74E6"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167</w:t>
            </w:r>
          </w:p>
        </w:tc>
        <w:tc>
          <w:tcPr>
            <w:tcW w:w="990" w:type="dxa"/>
            <w:tcBorders>
              <w:top w:val="single" w:sz="4" w:space="0" w:color="000000"/>
              <w:left w:val="single" w:sz="8" w:space="0" w:color="000000"/>
              <w:bottom w:val="single" w:sz="4" w:space="0" w:color="000000"/>
              <w:right w:val="single" w:sz="8" w:space="0" w:color="auto"/>
            </w:tcBorders>
            <w:vAlign w:val="center"/>
          </w:tcPr>
          <w:p w14:paraId="5103AA57" w14:textId="66AA5299"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8.2%</w:t>
            </w:r>
          </w:p>
        </w:tc>
        <w:tc>
          <w:tcPr>
            <w:tcW w:w="990" w:type="dxa"/>
            <w:tcBorders>
              <w:top w:val="single" w:sz="4" w:space="0" w:color="000000"/>
              <w:left w:val="single" w:sz="8" w:space="0" w:color="auto"/>
              <w:bottom w:val="single" w:sz="4" w:space="0" w:color="000000"/>
              <w:right w:val="single" w:sz="12" w:space="0" w:color="000000"/>
            </w:tcBorders>
            <w:vAlign w:val="center"/>
          </w:tcPr>
          <w:p w14:paraId="30CC0564" w14:textId="5151D23B"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85</w:t>
            </w:r>
          </w:p>
        </w:tc>
        <w:tc>
          <w:tcPr>
            <w:tcW w:w="1001" w:type="dxa"/>
            <w:tcBorders>
              <w:top w:val="single" w:sz="4" w:space="0" w:color="000000"/>
              <w:left w:val="single" w:sz="8" w:space="0" w:color="auto"/>
              <w:bottom w:val="single" w:sz="4" w:space="0" w:color="000000"/>
              <w:right w:val="single" w:sz="8" w:space="0" w:color="auto"/>
            </w:tcBorders>
            <w:vAlign w:val="center"/>
          </w:tcPr>
          <w:p w14:paraId="6B4F3A91" w14:textId="4078BCB4"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3.9%</w:t>
            </w:r>
          </w:p>
        </w:tc>
        <w:tc>
          <w:tcPr>
            <w:tcW w:w="979" w:type="dxa"/>
            <w:tcBorders>
              <w:top w:val="single" w:sz="4" w:space="0" w:color="000000"/>
              <w:left w:val="single" w:sz="8" w:space="0" w:color="auto"/>
              <w:bottom w:val="single" w:sz="4" w:space="0" w:color="000000"/>
              <w:right w:val="single" w:sz="12" w:space="0" w:color="000000"/>
            </w:tcBorders>
            <w:vAlign w:val="center"/>
          </w:tcPr>
          <w:p w14:paraId="6881BFAA" w14:textId="67266FB9"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84</w:t>
            </w:r>
          </w:p>
        </w:tc>
      </w:tr>
      <w:tr w:rsidR="006251C0" w:rsidRPr="00BB0086" w14:paraId="2A0DB349" w14:textId="49D734BE" w:rsidTr="00E94E62">
        <w:tblPrEx>
          <w:tblBorders>
            <w:top w:val="none" w:sz="0" w:space="0" w:color="auto"/>
          </w:tblBorders>
        </w:tblPrEx>
        <w:trPr>
          <w:jc w:val="center"/>
        </w:trPr>
        <w:tc>
          <w:tcPr>
            <w:tcW w:w="2415" w:type="dxa"/>
            <w:tcBorders>
              <w:top w:val="single" w:sz="4" w:space="0" w:color="000000"/>
              <w:left w:val="single" w:sz="12" w:space="0" w:color="000000"/>
              <w:bottom w:val="single" w:sz="12" w:space="0" w:color="auto"/>
              <w:right w:val="single" w:sz="18" w:space="0" w:color="000000"/>
            </w:tcBorders>
            <w:shd w:val="clear" w:color="auto" w:fill="auto"/>
            <w:vAlign w:val="center"/>
          </w:tcPr>
          <w:p w14:paraId="74613A75" w14:textId="694087E9"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Other</w:t>
            </w:r>
          </w:p>
        </w:tc>
        <w:tc>
          <w:tcPr>
            <w:tcW w:w="990" w:type="dxa"/>
            <w:tcBorders>
              <w:top w:val="single" w:sz="4" w:space="0" w:color="000000"/>
              <w:left w:val="single" w:sz="8" w:space="0" w:color="000000"/>
              <w:bottom w:val="single" w:sz="12" w:space="0" w:color="auto"/>
              <w:right w:val="single" w:sz="8" w:space="0" w:color="000000"/>
            </w:tcBorders>
            <w:shd w:val="clear" w:color="auto" w:fill="auto"/>
            <w:vAlign w:val="center"/>
          </w:tcPr>
          <w:p w14:paraId="510C8281" w14:textId="15CB4E00"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1.4%</w:t>
            </w:r>
          </w:p>
        </w:tc>
        <w:tc>
          <w:tcPr>
            <w:tcW w:w="990" w:type="dxa"/>
            <w:tcBorders>
              <w:top w:val="single" w:sz="4" w:space="0" w:color="000000"/>
              <w:left w:val="single" w:sz="8" w:space="0" w:color="000000"/>
              <w:bottom w:val="single" w:sz="12" w:space="0" w:color="auto"/>
              <w:right w:val="single" w:sz="12" w:space="0" w:color="000000"/>
            </w:tcBorders>
            <w:shd w:val="clear" w:color="auto" w:fill="auto"/>
            <w:vAlign w:val="center"/>
          </w:tcPr>
          <w:p w14:paraId="67F76D32" w14:textId="17BEF85C"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104</w:t>
            </w:r>
          </w:p>
        </w:tc>
        <w:tc>
          <w:tcPr>
            <w:tcW w:w="990" w:type="dxa"/>
            <w:tcBorders>
              <w:top w:val="single" w:sz="4" w:space="0" w:color="000000"/>
              <w:left w:val="single" w:sz="8" w:space="0" w:color="000000"/>
              <w:bottom w:val="single" w:sz="12" w:space="0" w:color="auto"/>
              <w:right w:val="single" w:sz="8" w:space="0" w:color="000000"/>
            </w:tcBorders>
            <w:shd w:val="clear" w:color="auto" w:fill="auto"/>
            <w:vAlign w:val="center"/>
          </w:tcPr>
          <w:p w14:paraId="1A250B4E" w14:textId="209F6C29"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6.8%</w:t>
            </w:r>
          </w:p>
        </w:tc>
        <w:tc>
          <w:tcPr>
            <w:tcW w:w="990" w:type="dxa"/>
            <w:tcBorders>
              <w:top w:val="single" w:sz="4" w:space="0" w:color="000000"/>
              <w:left w:val="single" w:sz="8" w:space="0" w:color="000000"/>
              <w:bottom w:val="single" w:sz="12" w:space="0" w:color="auto"/>
              <w:right w:val="single" w:sz="12" w:space="0" w:color="000000"/>
            </w:tcBorders>
            <w:shd w:val="clear" w:color="auto" w:fill="auto"/>
            <w:vAlign w:val="center"/>
          </w:tcPr>
          <w:p w14:paraId="1A2F77A5" w14:textId="23B1523E"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55</w:t>
            </w:r>
          </w:p>
        </w:tc>
        <w:tc>
          <w:tcPr>
            <w:tcW w:w="990" w:type="dxa"/>
            <w:tcBorders>
              <w:top w:val="single" w:sz="4" w:space="0" w:color="000000"/>
              <w:left w:val="single" w:sz="8" w:space="0" w:color="000000"/>
              <w:bottom w:val="single" w:sz="12" w:space="0" w:color="auto"/>
              <w:right w:val="single" w:sz="8" w:space="0" w:color="auto"/>
            </w:tcBorders>
            <w:vAlign w:val="center"/>
          </w:tcPr>
          <w:p w14:paraId="71FB93B0" w14:textId="4414D3F8"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5.2%</w:t>
            </w:r>
          </w:p>
        </w:tc>
        <w:tc>
          <w:tcPr>
            <w:tcW w:w="990" w:type="dxa"/>
            <w:tcBorders>
              <w:top w:val="single" w:sz="4" w:space="0" w:color="000000"/>
              <w:left w:val="single" w:sz="8" w:space="0" w:color="auto"/>
              <w:bottom w:val="single" w:sz="12" w:space="0" w:color="auto"/>
              <w:right w:val="single" w:sz="12" w:space="0" w:color="000000"/>
            </w:tcBorders>
            <w:vAlign w:val="center"/>
          </w:tcPr>
          <w:p w14:paraId="2C2A5B70" w14:textId="3DDC723B"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106</w:t>
            </w:r>
          </w:p>
        </w:tc>
        <w:tc>
          <w:tcPr>
            <w:tcW w:w="1001" w:type="dxa"/>
            <w:tcBorders>
              <w:top w:val="single" w:sz="4" w:space="0" w:color="000000"/>
              <w:left w:val="single" w:sz="8" w:space="0" w:color="auto"/>
              <w:bottom w:val="single" w:sz="12" w:space="0" w:color="auto"/>
              <w:right w:val="single" w:sz="8" w:space="0" w:color="auto"/>
            </w:tcBorders>
            <w:vAlign w:val="center"/>
          </w:tcPr>
          <w:p w14:paraId="1F60F440" w14:textId="796781A6"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0.4%</w:t>
            </w:r>
          </w:p>
        </w:tc>
        <w:tc>
          <w:tcPr>
            <w:tcW w:w="979" w:type="dxa"/>
            <w:tcBorders>
              <w:top w:val="single" w:sz="4" w:space="0" w:color="000000"/>
              <w:left w:val="single" w:sz="8" w:space="0" w:color="auto"/>
              <w:bottom w:val="single" w:sz="12" w:space="0" w:color="auto"/>
              <w:right w:val="single" w:sz="12" w:space="0" w:color="000000"/>
            </w:tcBorders>
            <w:vAlign w:val="center"/>
          </w:tcPr>
          <w:p w14:paraId="600F2FAB" w14:textId="10878E4A"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20</w:t>
            </w:r>
          </w:p>
        </w:tc>
      </w:tr>
      <w:tr w:rsidR="006251C0" w:rsidRPr="00BB0086" w14:paraId="0AF441AC" w14:textId="090371D0" w:rsidTr="00E94E62">
        <w:tblPrEx>
          <w:tblBorders>
            <w:top w:val="none" w:sz="0" w:space="0" w:color="auto"/>
          </w:tblBorders>
        </w:tblPrEx>
        <w:trPr>
          <w:jc w:val="center"/>
        </w:trPr>
        <w:tc>
          <w:tcPr>
            <w:tcW w:w="2415" w:type="dxa"/>
            <w:tcBorders>
              <w:top w:val="single" w:sz="12" w:space="0" w:color="auto"/>
              <w:left w:val="single" w:sz="12" w:space="0" w:color="000000"/>
              <w:bottom w:val="single" w:sz="4" w:space="0" w:color="000000"/>
              <w:right w:val="single" w:sz="18" w:space="0" w:color="000000"/>
            </w:tcBorders>
            <w:shd w:val="clear" w:color="auto" w:fill="auto"/>
            <w:vAlign w:val="center"/>
          </w:tcPr>
          <w:p w14:paraId="5A574117" w14:textId="7D3AEC50"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Income, &lt;$15K</w:t>
            </w:r>
          </w:p>
        </w:tc>
        <w:tc>
          <w:tcPr>
            <w:tcW w:w="990" w:type="dxa"/>
            <w:tcBorders>
              <w:top w:val="single" w:sz="12" w:space="0" w:color="auto"/>
              <w:left w:val="single" w:sz="8" w:space="0" w:color="000000"/>
              <w:bottom w:val="single" w:sz="4" w:space="0" w:color="000000"/>
              <w:right w:val="single" w:sz="8" w:space="0" w:color="000000"/>
            </w:tcBorders>
            <w:shd w:val="clear" w:color="auto" w:fill="auto"/>
            <w:vAlign w:val="center"/>
          </w:tcPr>
          <w:p w14:paraId="6069036B" w14:textId="6E5E2AC8"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w:t>
            </w:r>
          </w:p>
        </w:tc>
        <w:tc>
          <w:tcPr>
            <w:tcW w:w="990" w:type="dxa"/>
            <w:tcBorders>
              <w:top w:val="single" w:sz="12" w:space="0" w:color="auto"/>
              <w:left w:val="single" w:sz="8" w:space="0" w:color="000000"/>
              <w:bottom w:val="single" w:sz="4" w:space="0" w:color="000000"/>
              <w:right w:val="single" w:sz="12" w:space="0" w:color="000000"/>
            </w:tcBorders>
            <w:shd w:val="clear" w:color="auto" w:fill="auto"/>
            <w:vAlign w:val="center"/>
          </w:tcPr>
          <w:p w14:paraId="37B50793" w14:textId="5B4355D8"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w:t>
            </w:r>
          </w:p>
        </w:tc>
        <w:tc>
          <w:tcPr>
            <w:tcW w:w="990" w:type="dxa"/>
            <w:tcBorders>
              <w:top w:val="single" w:sz="12" w:space="0" w:color="auto"/>
              <w:left w:val="single" w:sz="8" w:space="0" w:color="000000"/>
              <w:bottom w:val="single" w:sz="4" w:space="0" w:color="000000"/>
              <w:right w:val="single" w:sz="8" w:space="0" w:color="000000"/>
            </w:tcBorders>
            <w:shd w:val="clear" w:color="auto" w:fill="auto"/>
            <w:vAlign w:val="center"/>
          </w:tcPr>
          <w:p w14:paraId="36F054DD" w14:textId="224222D9"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6.6%</w:t>
            </w:r>
          </w:p>
        </w:tc>
        <w:tc>
          <w:tcPr>
            <w:tcW w:w="990" w:type="dxa"/>
            <w:tcBorders>
              <w:top w:val="single" w:sz="12" w:space="0" w:color="auto"/>
              <w:left w:val="single" w:sz="8" w:space="0" w:color="000000"/>
              <w:bottom w:val="single" w:sz="4" w:space="0" w:color="000000"/>
              <w:right w:val="single" w:sz="12" w:space="0" w:color="000000"/>
            </w:tcBorders>
            <w:shd w:val="clear" w:color="auto" w:fill="auto"/>
            <w:vAlign w:val="center"/>
          </w:tcPr>
          <w:p w14:paraId="3CF4808C" w14:textId="49440235"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63</w:t>
            </w:r>
          </w:p>
        </w:tc>
        <w:tc>
          <w:tcPr>
            <w:tcW w:w="990" w:type="dxa"/>
            <w:tcBorders>
              <w:top w:val="single" w:sz="12" w:space="0" w:color="auto"/>
              <w:left w:val="single" w:sz="8" w:space="0" w:color="000000"/>
              <w:bottom w:val="single" w:sz="4" w:space="0" w:color="000000"/>
              <w:right w:val="single" w:sz="8" w:space="0" w:color="auto"/>
            </w:tcBorders>
            <w:vAlign w:val="center"/>
          </w:tcPr>
          <w:p w14:paraId="33DC2DCC" w14:textId="22E97B4A"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7.0%</w:t>
            </w:r>
          </w:p>
        </w:tc>
        <w:tc>
          <w:tcPr>
            <w:tcW w:w="990" w:type="dxa"/>
            <w:tcBorders>
              <w:top w:val="single" w:sz="12" w:space="0" w:color="auto"/>
              <w:left w:val="single" w:sz="8" w:space="0" w:color="auto"/>
              <w:bottom w:val="single" w:sz="4" w:space="0" w:color="000000"/>
              <w:right w:val="single" w:sz="12" w:space="0" w:color="000000"/>
            </w:tcBorders>
            <w:vAlign w:val="center"/>
          </w:tcPr>
          <w:p w14:paraId="5B59C3EA" w14:textId="094BAB0E"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59</w:t>
            </w:r>
          </w:p>
        </w:tc>
        <w:tc>
          <w:tcPr>
            <w:tcW w:w="1001" w:type="dxa"/>
            <w:tcBorders>
              <w:top w:val="single" w:sz="12" w:space="0" w:color="auto"/>
              <w:left w:val="single" w:sz="8" w:space="0" w:color="auto"/>
              <w:bottom w:val="single" w:sz="4" w:space="0" w:color="000000"/>
              <w:right w:val="single" w:sz="8" w:space="0" w:color="auto"/>
            </w:tcBorders>
            <w:vAlign w:val="center"/>
          </w:tcPr>
          <w:p w14:paraId="0541BE95" w14:textId="3F1B9351"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2.4%</w:t>
            </w:r>
          </w:p>
        </w:tc>
        <w:tc>
          <w:tcPr>
            <w:tcW w:w="979" w:type="dxa"/>
            <w:tcBorders>
              <w:top w:val="single" w:sz="12" w:space="0" w:color="auto"/>
              <w:left w:val="single" w:sz="8" w:space="0" w:color="auto"/>
              <w:bottom w:val="single" w:sz="4" w:space="0" w:color="000000"/>
              <w:right w:val="single" w:sz="12" w:space="0" w:color="000000"/>
            </w:tcBorders>
            <w:vAlign w:val="center"/>
          </w:tcPr>
          <w:p w14:paraId="6431E106" w14:textId="3AD599AE"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28</w:t>
            </w:r>
          </w:p>
        </w:tc>
      </w:tr>
      <w:tr w:rsidR="006251C0" w:rsidRPr="00BB0086" w14:paraId="0468FBA4" w14:textId="7EDF5487"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48E9167E" w14:textId="655B034E"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$15K</w:t>
            </w:r>
            <w:r w:rsidRPr="00BB0086">
              <w:rPr>
                <w:rFonts w:ascii="Verdana" w:eastAsia="Times New Roman" w:hAnsi="Verdana"/>
                <w:sz w:val="20"/>
                <w:szCs w:val="20"/>
              </w:rPr>
              <w:t>–</w:t>
            </w:r>
            <w:r w:rsidRPr="00BB0086">
              <w:rPr>
                <w:rFonts w:ascii="Verdana" w:eastAsia="Times New Roman" w:hAnsi="Verdana"/>
                <w:sz w:val="20"/>
                <w:szCs w:val="20"/>
              </w:rPr>
              <w:t>$25K</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110CA9F" w14:textId="46A8F4AB"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4.3%</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C3A1059" w14:textId="727CC60F"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50</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A921754" w14:textId="28491773"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3.2%</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2195A1B2" w14:textId="2874FE47"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29</w:t>
            </w:r>
          </w:p>
        </w:tc>
        <w:tc>
          <w:tcPr>
            <w:tcW w:w="990" w:type="dxa"/>
            <w:tcBorders>
              <w:top w:val="single" w:sz="4" w:space="0" w:color="000000"/>
              <w:left w:val="single" w:sz="8" w:space="0" w:color="000000"/>
              <w:bottom w:val="single" w:sz="4" w:space="0" w:color="000000"/>
              <w:right w:val="single" w:sz="8" w:space="0" w:color="auto"/>
            </w:tcBorders>
            <w:vAlign w:val="center"/>
          </w:tcPr>
          <w:p w14:paraId="422E2441" w14:textId="602360BB"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6.7%</w:t>
            </w:r>
          </w:p>
        </w:tc>
        <w:tc>
          <w:tcPr>
            <w:tcW w:w="990" w:type="dxa"/>
            <w:tcBorders>
              <w:top w:val="single" w:sz="4" w:space="0" w:color="000000"/>
              <w:left w:val="single" w:sz="8" w:space="0" w:color="auto"/>
              <w:bottom w:val="single" w:sz="4" w:space="0" w:color="000000"/>
              <w:right w:val="single" w:sz="12" w:space="0" w:color="000000"/>
            </w:tcBorders>
            <w:vAlign w:val="center"/>
          </w:tcPr>
          <w:p w14:paraId="0E94EEE9" w14:textId="43BE20DC"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71</w:t>
            </w:r>
          </w:p>
        </w:tc>
        <w:tc>
          <w:tcPr>
            <w:tcW w:w="1001" w:type="dxa"/>
            <w:tcBorders>
              <w:top w:val="single" w:sz="4" w:space="0" w:color="000000"/>
              <w:left w:val="single" w:sz="8" w:space="0" w:color="auto"/>
              <w:bottom w:val="single" w:sz="4" w:space="0" w:color="000000"/>
              <w:right w:val="single" w:sz="8" w:space="0" w:color="auto"/>
            </w:tcBorders>
            <w:vAlign w:val="center"/>
          </w:tcPr>
          <w:p w14:paraId="149832D2" w14:textId="70C85E7F"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4.1%</w:t>
            </w:r>
          </w:p>
        </w:tc>
        <w:tc>
          <w:tcPr>
            <w:tcW w:w="979" w:type="dxa"/>
            <w:tcBorders>
              <w:top w:val="single" w:sz="4" w:space="0" w:color="000000"/>
              <w:left w:val="single" w:sz="8" w:space="0" w:color="auto"/>
              <w:bottom w:val="single" w:sz="4" w:space="0" w:color="000000"/>
              <w:right w:val="single" w:sz="12" w:space="0" w:color="000000"/>
            </w:tcBorders>
            <w:vAlign w:val="center"/>
          </w:tcPr>
          <w:p w14:paraId="58BAB282" w14:textId="52CFDAEC"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57</w:t>
            </w:r>
          </w:p>
        </w:tc>
      </w:tr>
      <w:tr w:rsidR="006251C0" w:rsidRPr="00BB0086" w14:paraId="3C743871" w14:textId="1B7239CE"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3D9F6FB5" w14:textId="780C007D"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w:t>
            </w:r>
            <w:r w:rsidRPr="00BB0086">
              <w:rPr>
                <w:rFonts w:ascii="Verdana" w:eastAsia="Times New Roman" w:hAnsi="Verdana"/>
                <w:sz w:val="20"/>
                <w:szCs w:val="20"/>
              </w:rPr>
              <w:t>2</w:t>
            </w:r>
            <w:r w:rsidRPr="00BB0086">
              <w:rPr>
                <w:rFonts w:ascii="Verdana" w:eastAsia="Times New Roman" w:hAnsi="Verdana"/>
                <w:sz w:val="20"/>
                <w:szCs w:val="20"/>
              </w:rPr>
              <w:t>5K–$</w:t>
            </w:r>
            <w:r w:rsidRPr="00BB0086">
              <w:rPr>
                <w:rFonts w:ascii="Verdana" w:eastAsia="Times New Roman" w:hAnsi="Verdana"/>
                <w:sz w:val="20"/>
                <w:szCs w:val="20"/>
              </w:rPr>
              <w:t>3</w:t>
            </w:r>
            <w:r w:rsidRPr="00BB0086">
              <w:rPr>
                <w:rFonts w:ascii="Verdana" w:eastAsia="Times New Roman" w:hAnsi="Verdana"/>
                <w:sz w:val="20"/>
                <w:szCs w:val="20"/>
              </w:rPr>
              <w:t>5K</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88D59B5" w14:textId="5D05ADE4"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6.9%</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51B73E42" w14:textId="44EF248D"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63</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DDC4B15" w14:textId="6A7FDA6D"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9.5%</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7394E0F" w14:textId="74199F6E"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74</w:t>
            </w:r>
          </w:p>
        </w:tc>
        <w:tc>
          <w:tcPr>
            <w:tcW w:w="990" w:type="dxa"/>
            <w:tcBorders>
              <w:top w:val="single" w:sz="4" w:space="0" w:color="000000"/>
              <w:left w:val="single" w:sz="8" w:space="0" w:color="000000"/>
              <w:bottom w:val="single" w:sz="4" w:space="0" w:color="000000"/>
              <w:right w:val="single" w:sz="8" w:space="0" w:color="auto"/>
            </w:tcBorders>
            <w:vAlign w:val="center"/>
          </w:tcPr>
          <w:p w14:paraId="2EB3BC83" w14:textId="55CA213D"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8.7%</w:t>
            </w:r>
          </w:p>
        </w:tc>
        <w:tc>
          <w:tcPr>
            <w:tcW w:w="990" w:type="dxa"/>
            <w:tcBorders>
              <w:top w:val="single" w:sz="4" w:space="0" w:color="000000"/>
              <w:left w:val="single" w:sz="8" w:space="0" w:color="auto"/>
              <w:bottom w:val="single" w:sz="4" w:space="0" w:color="000000"/>
              <w:right w:val="single" w:sz="12" w:space="0" w:color="000000"/>
            </w:tcBorders>
            <w:vAlign w:val="center"/>
          </w:tcPr>
          <w:p w14:paraId="510430F3" w14:textId="6A114935"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86</w:t>
            </w:r>
          </w:p>
        </w:tc>
        <w:tc>
          <w:tcPr>
            <w:tcW w:w="1001" w:type="dxa"/>
            <w:tcBorders>
              <w:top w:val="single" w:sz="4" w:space="0" w:color="000000"/>
              <w:left w:val="single" w:sz="8" w:space="0" w:color="auto"/>
              <w:bottom w:val="single" w:sz="4" w:space="0" w:color="000000"/>
              <w:right w:val="single" w:sz="8" w:space="0" w:color="auto"/>
            </w:tcBorders>
            <w:vAlign w:val="center"/>
          </w:tcPr>
          <w:p w14:paraId="61C711EE" w14:textId="01483FD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4.5%</w:t>
            </w:r>
          </w:p>
        </w:tc>
        <w:tc>
          <w:tcPr>
            <w:tcW w:w="979" w:type="dxa"/>
            <w:tcBorders>
              <w:top w:val="single" w:sz="4" w:space="0" w:color="000000"/>
              <w:left w:val="single" w:sz="8" w:space="0" w:color="auto"/>
              <w:bottom w:val="single" w:sz="4" w:space="0" w:color="000000"/>
              <w:right w:val="single" w:sz="12" w:space="0" w:color="000000"/>
            </w:tcBorders>
            <w:vAlign w:val="center"/>
          </w:tcPr>
          <w:p w14:paraId="08204657" w14:textId="04839764"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46</w:t>
            </w:r>
          </w:p>
        </w:tc>
      </w:tr>
      <w:tr w:rsidR="006251C0" w:rsidRPr="00BB0086" w14:paraId="07BA956A" w14:textId="22CECED7"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51A61A38" w14:textId="614A4D92"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w:t>
            </w:r>
            <w:r w:rsidRPr="00BB0086">
              <w:rPr>
                <w:rFonts w:ascii="Verdana" w:eastAsia="Times New Roman" w:hAnsi="Verdana"/>
                <w:sz w:val="20"/>
                <w:szCs w:val="20"/>
              </w:rPr>
              <w:t>3</w:t>
            </w:r>
            <w:r w:rsidRPr="00BB0086">
              <w:rPr>
                <w:rFonts w:ascii="Verdana" w:eastAsia="Times New Roman" w:hAnsi="Verdana"/>
                <w:sz w:val="20"/>
                <w:szCs w:val="20"/>
              </w:rPr>
              <w:t>5K–$</w:t>
            </w:r>
            <w:r w:rsidRPr="00BB0086">
              <w:rPr>
                <w:rFonts w:ascii="Verdana" w:eastAsia="Times New Roman" w:hAnsi="Verdana"/>
                <w:sz w:val="20"/>
                <w:szCs w:val="20"/>
              </w:rPr>
              <w:t>50</w:t>
            </w:r>
            <w:r w:rsidRPr="00BB0086">
              <w:rPr>
                <w:rFonts w:ascii="Verdana" w:eastAsia="Times New Roman" w:hAnsi="Verdana"/>
                <w:sz w:val="20"/>
                <w:szCs w:val="20"/>
              </w:rPr>
              <w:t>K</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C48C802" w14:textId="4BD7B883"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12.9%</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F2DE39F" w14:textId="625A527D"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89</w:t>
            </w:r>
          </w:p>
        </w:tc>
        <w:tc>
          <w:tcPr>
            <w:tcW w:w="990"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5E821E01" w14:textId="16C2092A"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19.0%</w:t>
            </w:r>
          </w:p>
        </w:tc>
        <w:tc>
          <w:tcPr>
            <w:tcW w:w="990" w:type="dxa"/>
            <w:tcBorders>
              <w:top w:val="single" w:sz="4" w:space="0" w:color="000000"/>
              <w:left w:val="single" w:sz="8" w:space="0" w:color="000000"/>
              <w:bottom w:val="single" w:sz="4" w:space="0" w:color="000000"/>
              <w:right w:val="single" w:sz="12" w:space="0" w:color="000000"/>
            </w:tcBorders>
            <w:shd w:val="clear" w:color="auto" w:fill="FDE9D9" w:themeFill="accent6" w:themeFillTint="33"/>
            <w:vAlign w:val="center"/>
          </w:tcPr>
          <w:p w14:paraId="40C60500" w14:textId="1D282247"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93</w:t>
            </w:r>
          </w:p>
        </w:tc>
        <w:tc>
          <w:tcPr>
            <w:tcW w:w="990" w:type="dxa"/>
            <w:tcBorders>
              <w:top w:val="single" w:sz="4" w:space="0" w:color="000000"/>
              <w:left w:val="single" w:sz="8" w:space="0" w:color="000000"/>
              <w:bottom w:val="single" w:sz="4" w:space="0" w:color="000000"/>
              <w:right w:val="single" w:sz="8" w:space="0" w:color="auto"/>
            </w:tcBorders>
            <w:vAlign w:val="center"/>
          </w:tcPr>
          <w:p w14:paraId="695B9587" w14:textId="53C3010D"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10.5%</w:t>
            </w:r>
          </w:p>
        </w:tc>
        <w:tc>
          <w:tcPr>
            <w:tcW w:w="990" w:type="dxa"/>
            <w:tcBorders>
              <w:top w:val="single" w:sz="4" w:space="0" w:color="000000"/>
              <w:left w:val="single" w:sz="8" w:space="0" w:color="auto"/>
              <w:bottom w:val="single" w:sz="4" w:space="0" w:color="000000"/>
              <w:right w:val="single" w:sz="12" w:space="0" w:color="000000"/>
            </w:tcBorders>
            <w:vAlign w:val="center"/>
          </w:tcPr>
          <w:p w14:paraId="33513CA3" w14:textId="1D8660C5"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76</w:t>
            </w:r>
          </w:p>
        </w:tc>
        <w:tc>
          <w:tcPr>
            <w:tcW w:w="1001" w:type="dxa"/>
            <w:tcBorders>
              <w:top w:val="single" w:sz="4" w:space="0" w:color="000000"/>
              <w:left w:val="single" w:sz="8" w:space="0" w:color="auto"/>
              <w:bottom w:val="single" w:sz="4" w:space="0" w:color="000000"/>
              <w:right w:val="single" w:sz="8" w:space="0" w:color="auto"/>
            </w:tcBorders>
            <w:vAlign w:val="center"/>
          </w:tcPr>
          <w:p w14:paraId="1DC76A84" w14:textId="256AEDD5"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13.1%</w:t>
            </w:r>
          </w:p>
        </w:tc>
        <w:tc>
          <w:tcPr>
            <w:tcW w:w="979" w:type="dxa"/>
            <w:tcBorders>
              <w:top w:val="single" w:sz="4" w:space="0" w:color="000000"/>
              <w:left w:val="single" w:sz="8" w:space="0" w:color="auto"/>
              <w:bottom w:val="single" w:sz="4" w:space="0" w:color="000000"/>
              <w:right w:val="single" w:sz="12" w:space="0" w:color="000000"/>
            </w:tcBorders>
            <w:vAlign w:val="center"/>
          </w:tcPr>
          <w:p w14:paraId="72E1DC41" w14:textId="43366B04"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94</w:t>
            </w:r>
          </w:p>
        </w:tc>
      </w:tr>
      <w:tr w:rsidR="006251C0" w:rsidRPr="00BB0086" w14:paraId="2C60BB12" w14:textId="0B4B0812"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C02B0C4" w14:textId="7961329D"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w:t>
            </w:r>
            <w:r w:rsidRPr="00BB0086">
              <w:rPr>
                <w:rFonts w:ascii="Verdana" w:eastAsia="Times New Roman" w:hAnsi="Verdana"/>
                <w:sz w:val="20"/>
                <w:szCs w:val="20"/>
              </w:rPr>
              <w:t>50</w:t>
            </w:r>
            <w:r w:rsidRPr="00BB0086">
              <w:rPr>
                <w:rFonts w:ascii="Verdana" w:eastAsia="Times New Roman" w:hAnsi="Verdana"/>
                <w:sz w:val="20"/>
                <w:szCs w:val="20"/>
              </w:rPr>
              <w:t>K–$</w:t>
            </w:r>
            <w:r w:rsidRPr="00BB0086">
              <w:rPr>
                <w:rFonts w:ascii="Verdana" w:eastAsia="Times New Roman" w:hAnsi="Verdana"/>
                <w:sz w:val="20"/>
                <w:szCs w:val="20"/>
              </w:rPr>
              <w:t>7</w:t>
            </w:r>
            <w:r w:rsidRPr="00BB0086">
              <w:rPr>
                <w:rFonts w:ascii="Verdana" w:eastAsia="Times New Roman" w:hAnsi="Verdana"/>
                <w:sz w:val="20"/>
                <w:szCs w:val="20"/>
              </w:rPr>
              <w:t>5K</w:t>
            </w:r>
          </w:p>
        </w:tc>
        <w:tc>
          <w:tcPr>
            <w:tcW w:w="990"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2E441DF4" w14:textId="364EB6C4"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20.1%</w:t>
            </w:r>
          </w:p>
        </w:tc>
        <w:tc>
          <w:tcPr>
            <w:tcW w:w="990" w:type="dxa"/>
            <w:tcBorders>
              <w:top w:val="single" w:sz="4" w:space="0" w:color="000000"/>
              <w:left w:val="single" w:sz="8" w:space="0" w:color="000000"/>
              <w:bottom w:val="single" w:sz="4" w:space="0" w:color="000000"/>
              <w:right w:val="single" w:sz="12" w:space="0" w:color="000000"/>
            </w:tcBorders>
            <w:shd w:val="clear" w:color="auto" w:fill="FDE9D9" w:themeFill="accent6" w:themeFillTint="33"/>
            <w:vAlign w:val="center"/>
          </w:tcPr>
          <w:p w14:paraId="063DEFD0" w14:textId="2E4B3EE6"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105</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125ADB2" w14:textId="1DCAA228"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14.7%</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D8542CE" w14:textId="129DDE69"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78</w:t>
            </w:r>
          </w:p>
        </w:tc>
        <w:tc>
          <w:tcPr>
            <w:tcW w:w="990" w:type="dxa"/>
            <w:tcBorders>
              <w:top w:val="single" w:sz="4" w:space="0" w:color="000000"/>
              <w:left w:val="single" w:sz="8" w:space="0" w:color="000000"/>
              <w:bottom w:val="single" w:sz="4" w:space="0" w:color="000000"/>
              <w:right w:val="single" w:sz="8" w:space="0" w:color="auto"/>
            </w:tcBorders>
            <w:shd w:val="clear" w:color="auto" w:fill="FDE9D9" w:themeFill="accent6" w:themeFillTint="33"/>
            <w:vAlign w:val="center"/>
          </w:tcPr>
          <w:p w14:paraId="626F959D" w14:textId="6BA03B07"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19.3%</w:t>
            </w:r>
          </w:p>
        </w:tc>
        <w:tc>
          <w:tcPr>
            <w:tcW w:w="990" w:type="dxa"/>
            <w:tcBorders>
              <w:top w:val="single" w:sz="4" w:space="0" w:color="000000"/>
              <w:left w:val="single" w:sz="8" w:space="0" w:color="auto"/>
              <w:bottom w:val="single" w:sz="4" w:space="0" w:color="000000"/>
              <w:right w:val="single" w:sz="12" w:space="0" w:color="000000"/>
            </w:tcBorders>
            <w:shd w:val="clear" w:color="auto" w:fill="FDE9D9" w:themeFill="accent6" w:themeFillTint="33"/>
            <w:vAlign w:val="center"/>
          </w:tcPr>
          <w:p w14:paraId="1A6EA518" w14:textId="531EE61A"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90</w:t>
            </w:r>
          </w:p>
        </w:tc>
        <w:tc>
          <w:tcPr>
            <w:tcW w:w="1001" w:type="dxa"/>
            <w:tcBorders>
              <w:top w:val="single" w:sz="4" w:space="0" w:color="000000"/>
              <w:left w:val="single" w:sz="8" w:space="0" w:color="auto"/>
              <w:bottom w:val="single" w:sz="4" w:space="0" w:color="000000"/>
              <w:right w:val="single" w:sz="8" w:space="0" w:color="auto"/>
            </w:tcBorders>
            <w:shd w:val="clear" w:color="auto" w:fill="FDE9D9" w:themeFill="accent6" w:themeFillTint="33"/>
            <w:vAlign w:val="center"/>
          </w:tcPr>
          <w:p w14:paraId="78C3D958" w14:textId="150929CD"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15.7%</w:t>
            </w:r>
          </w:p>
        </w:tc>
        <w:tc>
          <w:tcPr>
            <w:tcW w:w="979" w:type="dxa"/>
            <w:tcBorders>
              <w:top w:val="single" w:sz="4" w:space="0" w:color="000000"/>
              <w:left w:val="single" w:sz="8" w:space="0" w:color="auto"/>
              <w:bottom w:val="single" w:sz="4" w:space="0" w:color="000000"/>
              <w:right w:val="single" w:sz="12" w:space="0" w:color="000000"/>
            </w:tcBorders>
            <w:shd w:val="clear" w:color="auto" w:fill="FDE9D9" w:themeFill="accent6" w:themeFillTint="33"/>
            <w:vAlign w:val="center"/>
          </w:tcPr>
          <w:p w14:paraId="58814B77" w14:textId="4AE7A51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72</w:t>
            </w:r>
          </w:p>
        </w:tc>
      </w:tr>
      <w:tr w:rsidR="006251C0" w:rsidRPr="00BB0086" w14:paraId="65870B6D" w14:textId="3B76FFEC"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5F55A1D" w14:textId="54029A7D"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w:t>
            </w:r>
            <w:r w:rsidRPr="00BB0086">
              <w:rPr>
                <w:rFonts w:ascii="Verdana" w:eastAsia="Times New Roman" w:hAnsi="Verdana"/>
                <w:sz w:val="20"/>
                <w:szCs w:val="20"/>
              </w:rPr>
              <w:t>7</w:t>
            </w:r>
            <w:r w:rsidRPr="00BB0086">
              <w:rPr>
                <w:rFonts w:ascii="Verdana" w:eastAsia="Times New Roman" w:hAnsi="Verdana"/>
                <w:sz w:val="20"/>
                <w:szCs w:val="20"/>
              </w:rPr>
              <w:t>5K–$</w:t>
            </w:r>
            <w:r w:rsidRPr="00BB0086">
              <w:rPr>
                <w:rFonts w:ascii="Verdana" w:eastAsia="Times New Roman" w:hAnsi="Verdana"/>
                <w:sz w:val="20"/>
                <w:szCs w:val="20"/>
              </w:rPr>
              <w:t>100</w:t>
            </w:r>
            <w:r w:rsidRPr="00BB0086">
              <w:rPr>
                <w:rFonts w:ascii="Verdana" w:eastAsia="Times New Roman" w:hAnsi="Verdana"/>
                <w:sz w:val="20"/>
                <w:szCs w:val="20"/>
              </w:rPr>
              <w:t>K</w:t>
            </w:r>
          </w:p>
        </w:tc>
        <w:tc>
          <w:tcPr>
            <w:tcW w:w="990"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008EC356" w14:textId="1CD54FB0"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21.5%</w:t>
            </w:r>
          </w:p>
        </w:tc>
        <w:tc>
          <w:tcPr>
            <w:tcW w:w="990" w:type="dxa"/>
            <w:tcBorders>
              <w:top w:val="single" w:sz="4" w:space="0" w:color="000000"/>
              <w:left w:val="single" w:sz="8" w:space="0" w:color="000000"/>
              <w:bottom w:val="single" w:sz="4" w:space="0" w:color="000000"/>
              <w:right w:val="single" w:sz="12" w:space="0" w:color="000000"/>
            </w:tcBorders>
            <w:shd w:val="clear" w:color="auto" w:fill="FDE9D9" w:themeFill="accent6" w:themeFillTint="33"/>
            <w:vAlign w:val="center"/>
          </w:tcPr>
          <w:p w14:paraId="7FE86193" w14:textId="4FD8C7C7"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131</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0F45279" w14:textId="1AF31DC6"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10.5%</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80C9399" w14:textId="10803A6F"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84</w:t>
            </w:r>
          </w:p>
        </w:tc>
        <w:tc>
          <w:tcPr>
            <w:tcW w:w="990" w:type="dxa"/>
            <w:tcBorders>
              <w:top w:val="single" w:sz="4" w:space="0" w:color="000000"/>
              <w:left w:val="single" w:sz="8" w:space="0" w:color="000000"/>
              <w:bottom w:val="single" w:sz="4" w:space="0" w:color="000000"/>
              <w:right w:val="single" w:sz="8" w:space="0" w:color="auto"/>
            </w:tcBorders>
            <w:vAlign w:val="center"/>
          </w:tcPr>
          <w:p w14:paraId="35BAA399" w14:textId="0CCFBDD4"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13.0%</w:t>
            </w:r>
          </w:p>
        </w:tc>
        <w:tc>
          <w:tcPr>
            <w:tcW w:w="990" w:type="dxa"/>
            <w:tcBorders>
              <w:top w:val="single" w:sz="4" w:space="0" w:color="000000"/>
              <w:left w:val="single" w:sz="8" w:space="0" w:color="auto"/>
              <w:bottom w:val="single" w:sz="4" w:space="0" w:color="000000"/>
              <w:right w:val="single" w:sz="12" w:space="0" w:color="000000"/>
            </w:tcBorders>
            <w:vAlign w:val="center"/>
          </w:tcPr>
          <w:p w14:paraId="62ACB120" w14:textId="0239040E"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103</w:t>
            </w:r>
          </w:p>
        </w:tc>
        <w:tc>
          <w:tcPr>
            <w:tcW w:w="1001" w:type="dxa"/>
            <w:tcBorders>
              <w:top w:val="single" w:sz="4" w:space="0" w:color="000000"/>
              <w:left w:val="single" w:sz="8" w:space="0" w:color="auto"/>
              <w:bottom w:val="single" w:sz="4" w:space="0" w:color="000000"/>
              <w:right w:val="single" w:sz="8" w:space="0" w:color="auto"/>
            </w:tcBorders>
            <w:shd w:val="clear" w:color="auto" w:fill="FDE9D9" w:themeFill="accent6" w:themeFillTint="33"/>
            <w:vAlign w:val="center"/>
          </w:tcPr>
          <w:p w14:paraId="28188A7E" w14:textId="5CB8283C"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18.2%</w:t>
            </w:r>
          </w:p>
        </w:tc>
        <w:tc>
          <w:tcPr>
            <w:tcW w:w="979" w:type="dxa"/>
            <w:tcBorders>
              <w:top w:val="single" w:sz="4" w:space="0" w:color="000000"/>
              <w:left w:val="single" w:sz="8" w:space="0" w:color="auto"/>
              <w:bottom w:val="single" w:sz="4" w:space="0" w:color="000000"/>
              <w:right w:val="single" w:sz="12" w:space="0" w:color="000000"/>
            </w:tcBorders>
            <w:shd w:val="clear" w:color="auto" w:fill="FDE9D9" w:themeFill="accent6" w:themeFillTint="33"/>
            <w:vAlign w:val="center"/>
          </w:tcPr>
          <w:p w14:paraId="5F44CA16" w14:textId="0995C8BB"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107</w:t>
            </w:r>
          </w:p>
        </w:tc>
      </w:tr>
      <w:tr w:rsidR="006251C0" w:rsidRPr="00BB0086" w14:paraId="0146328E" w14:textId="43B1B4C0"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8CE534E" w14:textId="0E18E874"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$1</w:t>
            </w:r>
            <w:r w:rsidRPr="00BB0086">
              <w:rPr>
                <w:rFonts w:ascii="Verdana" w:eastAsia="Times New Roman" w:hAnsi="Verdana"/>
                <w:sz w:val="20"/>
                <w:szCs w:val="20"/>
              </w:rPr>
              <w:t>00</w:t>
            </w:r>
            <w:r w:rsidRPr="00BB0086">
              <w:rPr>
                <w:rFonts w:ascii="Verdana" w:eastAsia="Times New Roman" w:hAnsi="Verdana"/>
                <w:sz w:val="20"/>
                <w:szCs w:val="20"/>
              </w:rPr>
              <w:t>K–$</w:t>
            </w:r>
            <w:r w:rsidRPr="00BB0086">
              <w:rPr>
                <w:rFonts w:ascii="Verdana" w:eastAsia="Times New Roman" w:hAnsi="Verdana"/>
                <w:sz w:val="20"/>
                <w:szCs w:val="20"/>
              </w:rPr>
              <w:t>1</w:t>
            </w:r>
            <w:r w:rsidRPr="00BB0086">
              <w:rPr>
                <w:rFonts w:ascii="Verdana" w:eastAsia="Times New Roman" w:hAnsi="Verdana"/>
                <w:sz w:val="20"/>
                <w:szCs w:val="20"/>
              </w:rPr>
              <w:t>5</w:t>
            </w:r>
            <w:r w:rsidRPr="00BB0086">
              <w:rPr>
                <w:rFonts w:ascii="Verdana" w:eastAsia="Times New Roman" w:hAnsi="Verdana"/>
                <w:sz w:val="20"/>
                <w:szCs w:val="20"/>
              </w:rPr>
              <w:t>0</w:t>
            </w:r>
            <w:r w:rsidRPr="00BB0086">
              <w:rPr>
                <w:rFonts w:ascii="Verdana" w:eastAsia="Times New Roman" w:hAnsi="Verdana"/>
                <w:sz w:val="20"/>
                <w:szCs w:val="20"/>
              </w:rPr>
              <w:t>K</w:t>
            </w:r>
          </w:p>
        </w:tc>
        <w:tc>
          <w:tcPr>
            <w:tcW w:w="990"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6E5E90BA" w14:textId="4EF6A707"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17.4%</w:t>
            </w:r>
          </w:p>
        </w:tc>
        <w:tc>
          <w:tcPr>
            <w:tcW w:w="990" w:type="dxa"/>
            <w:tcBorders>
              <w:top w:val="single" w:sz="4" w:space="0" w:color="000000"/>
              <w:left w:val="single" w:sz="8" w:space="0" w:color="000000"/>
              <w:bottom w:val="single" w:sz="4" w:space="0" w:color="000000"/>
              <w:right w:val="single" w:sz="12" w:space="0" w:color="000000"/>
            </w:tcBorders>
            <w:shd w:val="clear" w:color="auto" w:fill="FDE9D9" w:themeFill="accent6" w:themeFillTint="33"/>
            <w:vAlign w:val="center"/>
          </w:tcPr>
          <w:p w14:paraId="3CE33505" w14:textId="0C0FD61F"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128</w:t>
            </w:r>
          </w:p>
        </w:tc>
        <w:tc>
          <w:tcPr>
            <w:tcW w:w="990"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7375C79F" w14:textId="0CA2F9BC"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22.7%</w:t>
            </w:r>
          </w:p>
        </w:tc>
        <w:tc>
          <w:tcPr>
            <w:tcW w:w="990" w:type="dxa"/>
            <w:tcBorders>
              <w:top w:val="single" w:sz="4" w:space="0" w:color="000000"/>
              <w:left w:val="single" w:sz="8" w:space="0" w:color="000000"/>
              <w:bottom w:val="single" w:sz="4" w:space="0" w:color="000000"/>
              <w:right w:val="single" w:sz="12" w:space="0" w:color="000000"/>
            </w:tcBorders>
            <w:shd w:val="clear" w:color="auto" w:fill="FDE9D9" w:themeFill="accent6" w:themeFillTint="33"/>
            <w:vAlign w:val="center"/>
          </w:tcPr>
          <w:p w14:paraId="0878118E" w14:textId="62300A60"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307</w:t>
            </w:r>
          </w:p>
        </w:tc>
        <w:tc>
          <w:tcPr>
            <w:tcW w:w="990" w:type="dxa"/>
            <w:tcBorders>
              <w:top w:val="single" w:sz="4" w:space="0" w:color="000000"/>
              <w:left w:val="single" w:sz="8" w:space="0" w:color="000000"/>
              <w:bottom w:val="single" w:sz="4" w:space="0" w:color="000000"/>
              <w:right w:val="single" w:sz="8" w:space="0" w:color="auto"/>
            </w:tcBorders>
            <w:shd w:val="clear" w:color="auto" w:fill="FDE9D9" w:themeFill="accent6" w:themeFillTint="33"/>
            <w:vAlign w:val="center"/>
          </w:tcPr>
          <w:p w14:paraId="59D87153" w14:textId="71663EBC"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24.5%</w:t>
            </w:r>
          </w:p>
        </w:tc>
        <w:tc>
          <w:tcPr>
            <w:tcW w:w="990" w:type="dxa"/>
            <w:tcBorders>
              <w:top w:val="single" w:sz="4" w:space="0" w:color="000000"/>
              <w:left w:val="single" w:sz="8" w:space="0" w:color="auto"/>
              <w:bottom w:val="single" w:sz="4" w:space="0" w:color="000000"/>
              <w:right w:val="single" w:sz="12" w:space="0" w:color="000000"/>
            </w:tcBorders>
            <w:shd w:val="clear" w:color="auto" w:fill="FDE9D9" w:themeFill="accent6" w:themeFillTint="33"/>
            <w:vAlign w:val="center"/>
          </w:tcPr>
          <w:p w14:paraId="27E3B9C2" w14:textId="07F2E4D1"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199</w:t>
            </w:r>
          </w:p>
        </w:tc>
        <w:tc>
          <w:tcPr>
            <w:tcW w:w="1001" w:type="dxa"/>
            <w:tcBorders>
              <w:top w:val="single" w:sz="4" w:space="0" w:color="000000"/>
              <w:left w:val="single" w:sz="8" w:space="0" w:color="auto"/>
              <w:bottom w:val="single" w:sz="4" w:space="0" w:color="000000"/>
              <w:right w:val="single" w:sz="8" w:space="0" w:color="auto"/>
            </w:tcBorders>
            <w:shd w:val="clear" w:color="auto" w:fill="FDE9D9" w:themeFill="accent6" w:themeFillTint="33"/>
            <w:vAlign w:val="center"/>
          </w:tcPr>
          <w:p w14:paraId="380CDECE" w14:textId="71D0398E"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27.5%</w:t>
            </w:r>
          </w:p>
        </w:tc>
        <w:tc>
          <w:tcPr>
            <w:tcW w:w="979" w:type="dxa"/>
            <w:tcBorders>
              <w:top w:val="single" w:sz="4" w:space="0" w:color="000000"/>
              <w:left w:val="single" w:sz="8" w:space="0" w:color="auto"/>
              <w:bottom w:val="single" w:sz="4" w:space="0" w:color="000000"/>
              <w:right w:val="single" w:sz="12" w:space="0" w:color="000000"/>
            </w:tcBorders>
            <w:shd w:val="clear" w:color="auto" w:fill="FDE9D9" w:themeFill="accent6" w:themeFillTint="33"/>
            <w:vAlign w:val="center"/>
          </w:tcPr>
          <w:p w14:paraId="13700A43" w14:textId="53C896B0"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190</w:t>
            </w:r>
          </w:p>
        </w:tc>
      </w:tr>
      <w:tr w:rsidR="006251C0" w:rsidRPr="00BB0086" w14:paraId="2B1796DD" w14:textId="162F2FF4"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7D0E2D60" w14:textId="1163874A"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$15</w:t>
            </w:r>
            <w:r w:rsidRPr="00BB0086">
              <w:rPr>
                <w:rFonts w:ascii="Verdana" w:eastAsia="Times New Roman" w:hAnsi="Verdana"/>
                <w:sz w:val="20"/>
                <w:szCs w:val="20"/>
              </w:rPr>
              <w:t>0</w:t>
            </w:r>
            <w:r w:rsidRPr="00BB0086">
              <w:rPr>
                <w:rFonts w:ascii="Verdana" w:eastAsia="Times New Roman" w:hAnsi="Verdana"/>
                <w:sz w:val="20"/>
                <w:szCs w:val="20"/>
              </w:rPr>
              <w:t>K–$2</w:t>
            </w:r>
            <w:r w:rsidRPr="00BB0086">
              <w:rPr>
                <w:rFonts w:ascii="Verdana" w:eastAsia="Times New Roman" w:hAnsi="Verdana"/>
                <w:sz w:val="20"/>
                <w:szCs w:val="20"/>
              </w:rPr>
              <w:t>00</w:t>
            </w:r>
            <w:r w:rsidRPr="00BB0086">
              <w:rPr>
                <w:rFonts w:ascii="Verdana" w:eastAsia="Times New Roman" w:hAnsi="Verdana"/>
                <w:sz w:val="20"/>
                <w:szCs w:val="20"/>
              </w:rPr>
              <w:t>K</w:t>
            </w:r>
          </w:p>
        </w:tc>
        <w:tc>
          <w:tcPr>
            <w:tcW w:w="990"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23EFBA22" w14:textId="28892176"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8.2%</w:t>
            </w:r>
          </w:p>
        </w:tc>
        <w:tc>
          <w:tcPr>
            <w:tcW w:w="990" w:type="dxa"/>
            <w:tcBorders>
              <w:top w:val="single" w:sz="4" w:space="0" w:color="000000"/>
              <w:left w:val="single" w:sz="8" w:space="0" w:color="000000"/>
              <w:bottom w:val="single" w:sz="4" w:space="0" w:color="000000"/>
              <w:right w:val="single" w:sz="12" w:space="0" w:color="000000"/>
            </w:tcBorders>
            <w:shd w:val="clear" w:color="auto" w:fill="FDE9D9" w:themeFill="accent6" w:themeFillTint="33"/>
            <w:vAlign w:val="center"/>
          </w:tcPr>
          <w:p w14:paraId="3EC46BEA" w14:textId="5802D9F8"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260</w:t>
            </w:r>
          </w:p>
        </w:tc>
        <w:tc>
          <w:tcPr>
            <w:tcW w:w="990"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106CC761" w14:textId="12555619"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6.8%</w:t>
            </w:r>
          </w:p>
        </w:tc>
        <w:tc>
          <w:tcPr>
            <w:tcW w:w="990" w:type="dxa"/>
            <w:tcBorders>
              <w:top w:val="single" w:sz="4" w:space="0" w:color="000000"/>
              <w:left w:val="single" w:sz="8" w:space="0" w:color="000000"/>
              <w:bottom w:val="single" w:sz="4" w:space="0" w:color="000000"/>
              <w:right w:val="single" w:sz="12" w:space="0" w:color="000000"/>
            </w:tcBorders>
            <w:shd w:val="clear" w:color="auto" w:fill="FDE9D9" w:themeFill="accent6" w:themeFillTint="33"/>
            <w:vAlign w:val="center"/>
          </w:tcPr>
          <w:p w14:paraId="38297FC6" w14:textId="5A7B7F10"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185</w:t>
            </w:r>
          </w:p>
        </w:tc>
        <w:tc>
          <w:tcPr>
            <w:tcW w:w="990" w:type="dxa"/>
            <w:tcBorders>
              <w:top w:val="single" w:sz="4" w:space="0" w:color="000000"/>
              <w:left w:val="single" w:sz="8" w:space="0" w:color="000000"/>
              <w:bottom w:val="single" w:sz="4" w:space="0" w:color="000000"/>
              <w:right w:val="single" w:sz="8" w:space="0" w:color="auto"/>
            </w:tcBorders>
            <w:shd w:val="clear" w:color="auto" w:fill="FDE9D9" w:themeFill="accent6" w:themeFillTint="33"/>
            <w:vAlign w:val="center"/>
          </w:tcPr>
          <w:p w14:paraId="5ADDD133" w14:textId="2214784F"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5.8%</w:t>
            </w:r>
          </w:p>
        </w:tc>
        <w:tc>
          <w:tcPr>
            <w:tcW w:w="990" w:type="dxa"/>
            <w:tcBorders>
              <w:top w:val="single" w:sz="4" w:space="0" w:color="000000"/>
              <w:left w:val="single" w:sz="8" w:space="0" w:color="auto"/>
              <w:bottom w:val="single" w:sz="4" w:space="0" w:color="000000"/>
              <w:right w:val="single" w:sz="12" w:space="0" w:color="000000"/>
            </w:tcBorders>
            <w:shd w:val="clear" w:color="auto" w:fill="FDE9D9" w:themeFill="accent6" w:themeFillTint="33"/>
            <w:vAlign w:val="center"/>
          </w:tcPr>
          <w:p w14:paraId="14DD6A81" w14:textId="06FB43D6"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110</w:t>
            </w:r>
          </w:p>
        </w:tc>
        <w:tc>
          <w:tcPr>
            <w:tcW w:w="1001" w:type="dxa"/>
            <w:tcBorders>
              <w:top w:val="single" w:sz="4" w:space="0" w:color="000000"/>
              <w:left w:val="single" w:sz="8" w:space="0" w:color="auto"/>
              <w:bottom w:val="single" w:sz="4" w:space="0" w:color="000000"/>
              <w:right w:val="single" w:sz="8" w:space="0" w:color="auto"/>
            </w:tcBorders>
            <w:vAlign w:val="center"/>
          </w:tcPr>
          <w:p w14:paraId="1C41BA0C" w14:textId="08A7660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1.4%</w:t>
            </w:r>
          </w:p>
        </w:tc>
        <w:tc>
          <w:tcPr>
            <w:tcW w:w="979" w:type="dxa"/>
            <w:tcBorders>
              <w:top w:val="single" w:sz="4" w:space="0" w:color="000000"/>
              <w:left w:val="single" w:sz="8" w:space="0" w:color="auto"/>
              <w:bottom w:val="single" w:sz="4" w:space="0" w:color="000000"/>
              <w:right w:val="single" w:sz="12" w:space="0" w:color="000000"/>
            </w:tcBorders>
            <w:vAlign w:val="center"/>
          </w:tcPr>
          <w:p w14:paraId="2B4F5266" w14:textId="79097C4A"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37</w:t>
            </w:r>
          </w:p>
        </w:tc>
      </w:tr>
      <w:tr w:rsidR="006251C0" w:rsidRPr="00BB0086" w14:paraId="4A857854" w14:textId="477906B6" w:rsidTr="00E94E62">
        <w:tblPrEx>
          <w:tblBorders>
            <w:top w:val="none" w:sz="0" w:space="0" w:color="auto"/>
          </w:tblBorders>
        </w:tblPrEx>
        <w:trPr>
          <w:jc w:val="center"/>
        </w:trPr>
        <w:tc>
          <w:tcPr>
            <w:tcW w:w="2415" w:type="dxa"/>
            <w:tcBorders>
              <w:top w:val="single" w:sz="4" w:space="0" w:color="000000"/>
              <w:left w:val="single" w:sz="12" w:space="0" w:color="000000"/>
              <w:bottom w:val="single" w:sz="12" w:space="0" w:color="auto"/>
              <w:right w:val="single" w:sz="18" w:space="0" w:color="000000"/>
            </w:tcBorders>
            <w:shd w:val="clear" w:color="auto" w:fill="auto"/>
            <w:vAlign w:val="center"/>
          </w:tcPr>
          <w:p w14:paraId="43035E26" w14:textId="7CE5B9A2"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$200K+</w:t>
            </w:r>
          </w:p>
        </w:tc>
        <w:tc>
          <w:tcPr>
            <w:tcW w:w="990" w:type="dxa"/>
            <w:tcBorders>
              <w:top w:val="single" w:sz="4" w:space="0" w:color="000000"/>
              <w:left w:val="single" w:sz="8" w:space="0" w:color="000000"/>
              <w:bottom w:val="single" w:sz="12" w:space="0" w:color="auto"/>
              <w:right w:val="single" w:sz="8" w:space="0" w:color="000000"/>
            </w:tcBorders>
            <w:shd w:val="clear" w:color="auto" w:fill="FDE9D9" w:themeFill="accent6" w:themeFillTint="33"/>
            <w:vAlign w:val="center"/>
          </w:tcPr>
          <w:p w14:paraId="733FA4AE" w14:textId="2308ED39"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6.9%</w:t>
            </w:r>
          </w:p>
        </w:tc>
        <w:tc>
          <w:tcPr>
            <w:tcW w:w="990" w:type="dxa"/>
            <w:tcBorders>
              <w:top w:val="single" w:sz="4" w:space="0" w:color="000000"/>
              <w:left w:val="single" w:sz="8" w:space="0" w:color="000000"/>
              <w:bottom w:val="single" w:sz="12" w:space="0" w:color="auto"/>
              <w:right w:val="single" w:sz="12" w:space="0" w:color="000000"/>
            </w:tcBorders>
            <w:shd w:val="clear" w:color="auto" w:fill="FDE9D9" w:themeFill="accent6" w:themeFillTint="33"/>
            <w:vAlign w:val="center"/>
          </w:tcPr>
          <w:p w14:paraId="6B9D8EFC" w14:textId="3C97B1C5"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183</w:t>
            </w:r>
          </w:p>
        </w:tc>
        <w:tc>
          <w:tcPr>
            <w:tcW w:w="990" w:type="dxa"/>
            <w:tcBorders>
              <w:top w:val="single" w:sz="4" w:space="0" w:color="000000"/>
              <w:left w:val="single" w:sz="8" w:space="0" w:color="000000"/>
              <w:bottom w:val="single" w:sz="12" w:space="0" w:color="auto"/>
              <w:right w:val="single" w:sz="8" w:space="0" w:color="000000"/>
            </w:tcBorders>
            <w:shd w:val="clear" w:color="auto" w:fill="FDE9D9" w:themeFill="accent6" w:themeFillTint="33"/>
            <w:vAlign w:val="center"/>
          </w:tcPr>
          <w:p w14:paraId="1683496B" w14:textId="3589A41B"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7.0%</w:t>
            </w:r>
          </w:p>
        </w:tc>
        <w:tc>
          <w:tcPr>
            <w:tcW w:w="990" w:type="dxa"/>
            <w:tcBorders>
              <w:top w:val="single" w:sz="4" w:space="0" w:color="000000"/>
              <w:left w:val="single" w:sz="8" w:space="0" w:color="000000"/>
              <w:bottom w:val="single" w:sz="12" w:space="0" w:color="auto"/>
              <w:right w:val="single" w:sz="12" w:space="0" w:color="000000"/>
            </w:tcBorders>
            <w:shd w:val="clear" w:color="auto" w:fill="FDE9D9" w:themeFill="accent6" w:themeFillTint="33"/>
            <w:vAlign w:val="center"/>
          </w:tcPr>
          <w:p w14:paraId="45A448B1" w14:textId="13695D2E"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210</w:t>
            </w:r>
          </w:p>
        </w:tc>
        <w:tc>
          <w:tcPr>
            <w:tcW w:w="990" w:type="dxa"/>
            <w:tcBorders>
              <w:top w:val="single" w:sz="4" w:space="0" w:color="000000"/>
              <w:left w:val="single" w:sz="8" w:space="0" w:color="000000"/>
              <w:bottom w:val="single" w:sz="12" w:space="0" w:color="auto"/>
              <w:right w:val="single" w:sz="8" w:space="0" w:color="auto"/>
            </w:tcBorders>
            <w:shd w:val="clear" w:color="auto" w:fill="FDE9D9" w:themeFill="accent6" w:themeFillTint="33"/>
            <w:vAlign w:val="center"/>
          </w:tcPr>
          <w:p w14:paraId="0AFB15AE" w14:textId="3AE169DB"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4.5%</w:t>
            </w:r>
          </w:p>
        </w:tc>
        <w:tc>
          <w:tcPr>
            <w:tcW w:w="990" w:type="dxa"/>
            <w:tcBorders>
              <w:top w:val="single" w:sz="4" w:space="0" w:color="000000"/>
              <w:left w:val="single" w:sz="8" w:space="0" w:color="auto"/>
              <w:bottom w:val="single" w:sz="12" w:space="0" w:color="auto"/>
              <w:right w:val="single" w:sz="12" w:space="0" w:color="000000"/>
            </w:tcBorders>
            <w:shd w:val="clear" w:color="auto" w:fill="FDE9D9" w:themeFill="accent6" w:themeFillTint="33"/>
            <w:vAlign w:val="center"/>
          </w:tcPr>
          <w:p w14:paraId="7AD65D28" w14:textId="692B309C"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125</w:t>
            </w:r>
          </w:p>
        </w:tc>
        <w:tc>
          <w:tcPr>
            <w:tcW w:w="1001" w:type="dxa"/>
            <w:tcBorders>
              <w:top w:val="single" w:sz="4" w:space="0" w:color="000000"/>
              <w:left w:val="single" w:sz="8" w:space="0" w:color="auto"/>
              <w:bottom w:val="single" w:sz="12" w:space="0" w:color="auto"/>
              <w:right w:val="single" w:sz="8" w:space="0" w:color="auto"/>
            </w:tcBorders>
            <w:shd w:val="clear" w:color="auto" w:fill="FDE9D9" w:themeFill="accent6" w:themeFillTint="33"/>
            <w:vAlign w:val="center"/>
          </w:tcPr>
          <w:p w14:paraId="13DE9D68" w14:textId="1FA2A46B"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13.0%</w:t>
            </w:r>
          </w:p>
        </w:tc>
        <w:tc>
          <w:tcPr>
            <w:tcW w:w="979" w:type="dxa"/>
            <w:tcBorders>
              <w:top w:val="single" w:sz="4" w:space="0" w:color="000000"/>
              <w:left w:val="single" w:sz="8" w:space="0" w:color="auto"/>
              <w:bottom w:val="single" w:sz="12" w:space="0" w:color="auto"/>
              <w:right w:val="single" w:sz="12" w:space="0" w:color="000000"/>
            </w:tcBorders>
            <w:shd w:val="clear" w:color="auto" w:fill="FDE9D9" w:themeFill="accent6" w:themeFillTint="33"/>
            <w:vAlign w:val="center"/>
          </w:tcPr>
          <w:p w14:paraId="09035108" w14:textId="7D89AEF6"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337</w:t>
            </w:r>
          </w:p>
        </w:tc>
      </w:tr>
      <w:tr w:rsidR="006251C0" w:rsidRPr="00BB0086" w14:paraId="70ACD393" w14:textId="5C932FA1" w:rsidTr="00E94E62">
        <w:tblPrEx>
          <w:tblBorders>
            <w:top w:val="none" w:sz="0" w:space="0" w:color="auto"/>
          </w:tblBorders>
        </w:tblPrEx>
        <w:trPr>
          <w:jc w:val="center"/>
        </w:trPr>
        <w:tc>
          <w:tcPr>
            <w:tcW w:w="2415" w:type="dxa"/>
            <w:tcBorders>
              <w:top w:val="single" w:sz="12" w:space="0" w:color="auto"/>
              <w:left w:val="single" w:sz="12" w:space="0" w:color="000000"/>
              <w:bottom w:val="single" w:sz="4" w:space="0" w:color="000000"/>
              <w:right w:val="single" w:sz="18" w:space="0" w:color="000000"/>
            </w:tcBorders>
            <w:shd w:val="clear" w:color="auto" w:fill="auto"/>
            <w:vAlign w:val="center"/>
          </w:tcPr>
          <w:p w14:paraId="7D661A09" w14:textId="1A4B5C58"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High school or less</w:t>
            </w:r>
          </w:p>
        </w:tc>
        <w:tc>
          <w:tcPr>
            <w:tcW w:w="990" w:type="dxa"/>
            <w:tcBorders>
              <w:top w:val="single" w:sz="12" w:space="0" w:color="auto"/>
              <w:left w:val="single" w:sz="8" w:space="0" w:color="000000"/>
              <w:bottom w:val="single" w:sz="4" w:space="0" w:color="000000"/>
              <w:right w:val="single" w:sz="8" w:space="0" w:color="000000"/>
            </w:tcBorders>
            <w:shd w:val="clear" w:color="auto" w:fill="auto"/>
            <w:vAlign w:val="center"/>
          </w:tcPr>
          <w:p w14:paraId="5101BE35" w14:textId="12D79181"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3.8%</w:t>
            </w:r>
          </w:p>
        </w:tc>
        <w:tc>
          <w:tcPr>
            <w:tcW w:w="990" w:type="dxa"/>
            <w:tcBorders>
              <w:top w:val="single" w:sz="12" w:space="0" w:color="auto"/>
              <w:left w:val="single" w:sz="8" w:space="0" w:color="000000"/>
              <w:bottom w:val="single" w:sz="4" w:space="0" w:color="000000"/>
              <w:right w:val="single" w:sz="12" w:space="0" w:color="000000"/>
            </w:tcBorders>
            <w:shd w:val="clear" w:color="auto" w:fill="auto"/>
            <w:vAlign w:val="center"/>
          </w:tcPr>
          <w:p w14:paraId="4AEAE9AB" w14:textId="5A70B74A"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92</w:t>
            </w:r>
          </w:p>
        </w:tc>
        <w:tc>
          <w:tcPr>
            <w:tcW w:w="990" w:type="dxa"/>
            <w:tcBorders>
              <w:top w:val="single" w:sz="12" w:space="0" w:color="auto"/>
              <w:left w:val="single" w:sz="8" w:space="0" w:color="000000"/>
              <w:bottom w:val="single" w:sz="4" w:space="0" w:color="000000"/>
              <w:right w:val="single" w:sz="8" w:space="0" w:color="000000"/>
            </w:tcBorders>
            <w:shd w:val="clear" w:color="auto" w:fill="auto"/>
            <w:vAlign w:val="center"/>
          </w:tcPr>
          <w:p w14:paraId="31132CF9" w14:textId="7391D55E"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w:t>
            </w:r>
          </w:p>
        </w:tc>
        <w:tc>
          <w:tcPr>
            <w:tcW w:w="990" w:type="dxa"/>
            <w:tcBorders>
              <w:top w:val="single" w:sz="12" w:space="0" w:color="auto"/>
              <w:left w:val="single" w:sz="8" w:space="0" w:color="000000"/>
              <w:bottom w:val="single" w:sz="4" w:space="0" w:color="000000"/>
              <w:right w:val="single" w:sz="12" w:space="0" w:color="000000"/>
            </w:tcBorders>
            <w:shd w:val="clear" w:color="auto" w:fill="auto"/>
            <w:vAlign w:val="center"/>
          </w:tcPr>
          <w:p w14:paraId="47B11CDB" w14:textId="4CC58021"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16</w:t>
            </w:r>
          </w:p>
        </w:tc>
        <w:tc>
          <w:tcPr>
            <w:tcW w:w="990" w:type="dxa"/>
            <w:tcBorders>
              <w:top w:val="single" w:sz="12" w:space="0" w:color="auto"/>
              <w:left w:val="single" w:sz="8" w:space="0" w:color="000000"/>
              <w:bottom w:val="single" w:sz="4" w:space="0" w:color="000000"/>
              <w:right w:val="single" w:sz="8" w:space="0" w:color="auto"/>
            </w:tcBorders>
            <w:vAlign w:val="center"/>
          </w:tcPr>
          <w:p w14:paraId="633CD17C" w14:textId="713F9178"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2.8%</w:t>
            </w:r>
          </w:p>
        </w:tc>
        <w:tc>
          <w:tcPr>
            <w:tcW w:w="990" w:type="dxa"/>
            <w:tcBorders>
              <w:top w:val="single" w:sz="12" w:space="0" w:color="auto"/>
              <w:left w:val="single" w:sz="8" w:space="0" w:color="auto"/>
              <w:bottom w:val="single" w:sz="4" w:space="0" w:color="000000"/>
              <w:right w:val="single" w:sz="12" w:space="0" w:color="000000"/>
            </w:tcBorders>
            <w:vAlign w:val="center"/>
          </w:tcPr>
          <w:p w14:paraId="14788673" w14:textId="176AC2DC"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54</w:t>
            </w:r>
          </w:p>
        </w:tc>
        <w:tc>
          <w:tcPr>
            <w:tcW w:w="1001" w:type="dxa"/>
            <w:tcBorders>
              <w:top w:val="single" w:sz="12" w:space="0" w:color="auto"/>
              <w:left w:val="single" w:sz="8" w:space="0" w:color="auto"/>
              <w:bottom w:val="single" w:sz="4" w:space="0" w:color="000000"/>
              <w:right w:val="single" w:sz="8" w:space="0" w:color="auto"/>
            </w:tcBorders>
            <w:vAlign w:val="center"/>
          </w:tcPr>
          <w:p w14:paraId="3F07D296" w14:textId="495833FB"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1.5%</w:t>
            </w:r>
          </w:p>
        </w:tc>
        <w:tc>
          <w:tcPr>
            <w:tcW w:w="979" w:type="dxa"/>
            <w:tcBorders>
              <w:top w:val="single" w:sz="12" w:space="0" w:color="auto"/>
              <w:left w:val="single" w:sz="8" w:space="0" w:color="auto"/>
              <w:bottom w:val="single" w:sz="4" w:space="0" w:color="000000"/>
              <w:right w:val="single" w:sz="12" w:space="0" w:color="000000"/>
            </w:tcBorders>
            <w:vAlign w:val="center"/>
          </w:tcPr>
          <w:p w14:paraId="15970876" w14:textId="3C9A8AD7"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33</w:t>
            </w:r>
          </w:p>
        </w:tc>
      </w:tr>
      <w:tr w:rsidR="006251C0" w:rsidRPr="00BB0086" w14:paraId="4D3380B3" w14:textId="4B76494B"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313D9C53" w14:textId="6D4071F3"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High school graduate</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3A2E19D" w14:textId="148A19EB"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18.4%</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AB6061F" w14:textId="579DD230"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73</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415B50A" w14:textId="0A511E11"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16.6%</w:t>
            </w:r>
          </w:p>
        </w:tc>
        <w:tc>
          <w:tcPr>
            <w:tcW w:w="99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7FCF4268" w14:textId="11171265"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54</w:t>
            </w:r>
          </w:p>
        </w:tc>
        <w:tc>
          <w:tcPr>
            <w:tcW w:w="990" w:type="dxa"/>
            <w:tcBorders>
              <w:top w:val="single" w:sz="4" w:space="0" w:color="000000"/>
              <w:left w:val="single" w:sz="8" w:space="0" w:color="000000"/>
              <w:bottom w:val="single" w:sz="4" w:space="0" w:color="000000"/>
              <w:right w:val="single" w:sz="8" w:space="0" w:color="auto"/>
            </w:tcBorders>
            <w:vAlign w:val="center"/>
          </w:tcPr>
          <w:p w14:paraId="644AB379" w14:textId="3834F248"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7.6%</w:t>
            </w:r>
          </w:p>
        </w:tc>
        <w:tc>
          <w:tcPr>
            <w:tcW w:w="990" w:type="dxa"/>
            <w:tcBorders>
              <w:top w:val="single" w:sz="4" w:space="0" w:color="000000"/>
              <w:left w:val="single" w:sz="8" w:space="0" w:color="auto"/>
              <w:bottom w:val="single" w:sz="4" w:space="0" w:color="000000"/>
              <w:right w:val="single" w:sz="12" w:space="0" w:color="000000"/>
            </w:tcBorders>
            <w:vAlign w:val="center"/>
          </w:tcPr>
          <w:p w14:paraId="0C640667" w14:textId="3806E60A"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33</w:t>
            </w:r>
          </w:p>
        </w:tc>
        <w:tc>
          <w:tcPr>
            <w:tcW w:w="1001" w:type="dxa"/>
            <w:tcBorders>
              <w:top w:val="single" w:sz="4" w:space="0" w:color="000000"/>
              <w:left w:val="single" w:sz="8" w:space="0" w:color="auto"/>
              <w:bottom w:val="single" w:sz="4" w:space="0" w:color="000000"/>
              <w:right w:val="single" w:sz="8" w:space="0" w:color="auto"/>
            </w:tcBorders>
            <w:vAlign w:val="center"/>
          </w:tcPr>
          <w:p w14:paraId="27610B5F" w14:textId="5B770D89"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12.2%</w:t>
            </w:r>
          </w:p>
        </w:tc>
        <w:tc>
          <w:tcPr>
            <w:tcW w:w="979" w:type="dxa"/>
            <w:tcBorders>
              <w:top w:val="single" w:sz="4" w:space="0" w:color="000000"/>
              <w:left w:val="single" w:sz="8" w:space="0" w:color="auto"/>
              <w:bottom w:val="single" w:sz="4" w:space="0" w:color="000000"/>
              <w:right w:val="single" w:sz="12" w:space="0" w:color="000000"/>
            </w:tcBorders>
            <w:vAlign w:val="center"/>
          </w:tcPr>
          <w:p w14:paraId="13E6AD66" w14:textId="54FB8A7A"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53</w:t>
            </w:r>
          </w:p>
        </w:tc>
      </w:tr>
      <w:tr w:rsidR="006251C0" w:rsidRPr="00BB0086" w14:paraId="5AEB4503" w14:textId="722ACE72"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4BDD22AD" w14:textId="2B632ED9"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Some college</w:t>
            </w:r>
          </w:p>
        </w:tc>
        <w:tc>
          <w:tcPr>
            <w:tcW w:w="99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vAlign w:val="center"/>
          </w:tcPr>
          <w:p w14:paraId="7D8823E8" w14:textId="26BD8365"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23.8%</w:t>
            </w:r>
          </w:p>
        </w:tc>
        <w:tc>
          <w:tcPr>
            <w:tcW w:w="990" w:type="dxa"/>
            <w:tcBorders>
              <w:top w:val="single" w:sz="4" w:space="0" w:color="000000"/>
              <w:left w:val="single" w:sz="8" w:space="0" w:color="000000"/>
              <w:bottom w:val="single" w:sz="4" w:space="0" w:color="000000"/>
              <w:right w:val="single" w:sz="12" w:space="0" w:color="000000"/>
            </w:tcBorders>
            <w:shd w:val="clear" w:color="auto" w:fill="F2DBDB" w:themeFill="accent2" w:themeFillTint="33"/>
            <w:vAlign w:val="center"/>
          </w:tcPr>
          <w:p w14:paraId="6AD66C0C" w14:textId="295CA670"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76</w:t>
            </w:r>
          </w:p>
        </w:tc>
        <w:tc>
          <w:tcPr>
            <w:tcW w:w="99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vAlign w:val="center"/>
          </w:tcPr>
          <w:p w14:paraId="3EFBF06F" w14:textId="130ABAB1"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40.4%</w:t>
            </w:r>
          </w:p>
        </w:tc>
        <w:tc>
          <w:tcPr>
            <w:tcW w:w="990" w:type="dxa"/>
            <w:tcBorders>
              <w:top w:val="single" w:sz="4" w:space="0" w:color="000000"/>
              <w:left w:val="single" w:sz="8" w:space="0" w:color="000000"/>
              <w:bottom w:val="single" w:sz="4" w:space="0" w:color="000000"/>
              <w:right w:val="single" w:sz="12" w:space="0" w:color="000000"/>
            </w:tcBorders>
            <w:shd w:val="clear" w:color="auto" w:fill="F2DBDB" w:themeFill="accent2" w:themeFillTint="33"/>
            <w:vAlign w:val="center"/>
          </w:tcPr>
          <w:p w14:paraId="6243B7B3" w14:textId="4FA18767"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125</w:t>
            </w:r>
          </w:p>
        </w:tc>
        <w:tc>
          <w:tcPr>
            <w:tcW w:w="990" w:type="dxa"/>
            <w:tcBorders>
              <w:top w:val="single" w:sz="4" w:space="0" w:color="000000"/>
              <w:left w:val="single" w:sz="8" w:space="0" w:color="000000"/>
              <w:bottom w:val="single" w:sz="4" w:space="0" w:color="000000"/>
              <w:right w:val="single" w:sz="8" w:space="0" w:color="auto"/>
            </w:tcBorders>
            <w:shd w:val="clear" w:color="auto" w:fill="F2DBDB" w:themeFill="accent2" w:themeFillTint="33"/>
            <w:vAlign w:val="center"/>
          </w:tcPr>
          <w:p w14:paraId="04BAACE6" w14:textId="55DCEA48"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31.2%</w:t>
            </w:r>
          </w:p>
        </w:tc>
        <w:tc>
          <w:tcPr>
            <w:tcW w:w="990" w:type="dxa"/>
            <w:tcBorders>
              <w:top w:val="single" w:sz="4" w:space="0" w:color="000000"/>
              <w:left w:val="single" w:sz="8" w:space="0" w:color="auto"/>
              <w:bottom w:val="single" w:sz="4" w:space="0" w:color="000000"/>
              <w:right w:val="single" w:sz="12" w:space="0" w:color="000000"/>
            </w:tcBorders>
            <w:shd w:val="clear" w:color="auto" w:fill="F2DBDB" w:themeFill="accent2" w:themeFillTint="33"/>
            <w:vAlign w:val="center"/>
          </w:tcPr>
          <w:p w14:paraId="01C9CEC2" w14:textId="0F6D2B16"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84</w:t>
            </w:r>
          </w:p>
        </w:tc>
        <w:tc>
          <w:tcPr>
            <w:tcW w:w="1001" w:type="dxa"/>
            <w:tcBorders>
              <w:top w:val="single" w:sz="4" w:space="0" w:color="000000"/>
              <w:left w:val="single" w:sz="8" w:space="0" w:color="auto"/>
              <w:bottom w:val="single" w:sz="4" w:space="0" w:color="000000"/>
              <w:right w:val="single" w:sz="8" w:space="0" w:color="auto"/>
            </w:tcBorders>
            <w:shd w:val="clear" w:color="auto" w:fill="F2DBDB" w:themeFill="accent2" w:themeFillTint="33"/>
            <w:vAlign w:val="center"/>
          </w:tcPr>
          <w:p w14:paraId="3AD9F9A8" w14:textId="56096F78"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35.2%</w:t>
            </w:r>
          </w:p>
        </w:tc>
        <w:tc>
          <w:tcPr>
            <w:tcW w:w="979" w:type="dxa"/>
            <w:tcBorders>
              <w:top w:val="single" w:sz="4" w:space="0" w:color="000000"/>
              <w:left w:val="single" w:sz="8" w:space="0" w:color="auto"/>
              <w:bottom w:val="single" w:sz="4" w:space="0" w:color="000000"/>
              <w:right w:val="single" w:sz="12" w:space="0" w:color="000000"/>
            </w:tcBorders>
            <w:shd w:val="clear" w:color="auto" w:fill="F2DBDB" w:themeFill="accent2" w:themeFillTint="33"/>
            <w:vAlign w:val="center"/>
          </w:tcPr>
          <w:p w14:paraId="6F3ED98E" w14:textId="35A9D9C4"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111</w:t>
            </w:r>
          </w:p>
        </w:tc>
      </w:tr>
      <w:tr w:rsidR="006251C0" w:rsidRPr="00BB0086" w14:paraId="3052B2E7" w14:textId="169D3C1E" w:rsidTr="00E94E62">
        <w:tblPrEx>
          <w:tblBorders>
            <w:top w:val="none" w:sz="0" w:space="0" w:color="auto"/>
          </w:tblBorders>
        </w:tblPrEx>
        <w:trPr>
          <w:jc w:val="center"/>
        </w:trPr>
        <w:tc>
          <w:tcPr>
            <w:tcW w:w="241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EC36F04" w14:textId="7DF2AF8C"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College degree</w:t>
            </w:r>
          </w:p>
        </w:tc>
        <w:tc>
          <w:tcPr>
            <w:tcW w:w="99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vAlign w:val="center"/>
          </w:tcPr>
          <w:p w14:paraId="7A86A7A5" w14:textId="61907B8C"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30.4%</w:t>
            </w:r>
          </w:p>
        </w:tc>
        <w:tc>
          <w:tcPr>
            <w:tcW w:w="990" w:type="dxa"/>
            <w:tcBorders>
              <w:top w:val="single" w:sz="4" w:space="0" w:color="000000"/>
              <w:left w:val="single" w:sz="8" w:space="0" w:color="000000"/>
              <w:bottom w:val="single" w:sz="4" w:space="0" w:color="000000"/>
              <w:right w:val="single" w:sz="12" w:space="0" w:color="000000"/>
            </w:tcBorders>
            <w:shd w:val="clear" w:color="auto" w:fill="F2DBDB" w:themeFill="accent2" w:themeFillTint="33"/>
            <w:vAlign w:val="center"/>
          </w:tcPr>
          <w:p w14:paraId="1ADA51D1" w14:textId="15DDF34F"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120</w:t>
            </w:r>
          </w:p>
        </w:tc>
        <w:tc>
          <w:tcPr>
            <w:tcW w:w="990" w:type="dxa"/>
            <w:tcBorders>
              <w:top w:val="single" w:sz="4" w:space="0" w:color="000000"/>
              <w:left w:val="single" w:sz="8" w:space="0" w:color="000000"/>
              <w:bottom w:val="single" w:sz="4" w:space="0" w:color="000000"/>
              <w:right w:val="single" w:sz="8" w:space="0" w:color="000000"/>
            </w:tcBorders>
            <w:shd w:val="clear" w:color="auto" w:fill="F2DBDB" w:themeFill="accent2" w:themeFillTint="33"/>
            <w:vAlign w:val="center"/>
          </w:tcPr>
          <w:p w14:paraId="44816F8E" w14:textId="245394C9"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22.7%</w:t>
            </w:r>
          </w:p>
        </w:tc>
        <w:tc>
          <w:tcPr>
            <w:tcW w:w="990" w:type="dxa"/>
            <w:tcBorders>
              <w:top w:val="single" w:sz="4" w:space="0" w:color="000000"/>
              <w:left w:val="single" w:sz="8" w:space="0" w:color="000000"/>
              <w:bottom w:val="single" w:sz="4" w:space="0" w:color="000000"/>
              <w:right w:val="single" w:sz="12" w:space="0" w:color="000000"/>
            </w:tcBorders>
            <w:shd w:val="clear" w:color="auto" w:fill="F2DBDB" w:themeFill="accent2" w:themeFillTint="33"/>
            <w:vAlign w:val="center"/>
          </w:tcPr>
          <w:p w14:paraId="34A17001" w14:textId="723889DE" w:rsidR="006251C0" w:rsidRPr="00BB0086" w:rsidRDefault="00294F39"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105</w:t>
            </w:r>
          </w:p>
        </w:tc>
        <w:tc>
          <w:tcPr>
            <w:tcW w:w="990" w:type="dxa"/>
            <w:tcBorders>
              <w:top w:val="single" w:sz="4" w:space="0" w:color="000000"/>
              <w:left w:val="single" w:sz="8" w:space="0" w:color="000000"/>
              <w:bottom w:val="single" w:sz="4" w:space="0" w:color="000000"/>
              <w:right w:val="single" w:sz="8" w:space="0" w:color="auto"/>
            </w:tcBorders>
            <w:shd w:val="clear" w:color="auto" w:fill="F2DBDB" w:themeFill="accent2" w:themeFillTint="33"/>
            <w:vAlign w:val="center"/>
          </w:tcPr>
          <w:p w14:paraId="5953163B" w14:textId="081BFF24"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41.5%</w:t>
            </w:r>
          </w:p>
        </w:tc>
        <w:tc>
          <w:tcPr>
            <w:tcW w:w="990" w:type="dxa"/>
            <w:tcBorders>
              <w:top w:val="single" w:sz="4" w:space="0" w:color="000000"/>
              <w:left w:val="single" w:sz="8" w:space="0" w:color="auto"/>
              <w:bottom w:val="single" w:sz="4" w:space="0" w:color="000000"/>
              <w:right w:val="single" w:sz="12" w:space="0" w:color="000000"/>
            </w:tcBorders>
            <w:shd w:val="clear" w:color="auto" w:fill="F2DBDB" w:themeFill="accent2" w:themeFillTint="33"/>
            <w:vAlign w:val="center"/>
          </w:tcPr>
          <w:p w14:paraId="7501D9F8" w14:textId="0669A67D" w:rsidR="006251C0" w:rsidRPr="00BB0086" w:rsidRDefault="006A3431"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166</w:t>
            </w:r>
          </w:p>
        </w:tc>
        <w:tc>
          <w:tcPr>
            <w:tcW w:w="1001" w:type="dxa"/>
            <w:tcBorders>
              <w:top w:val="single" w:sz="4" w:space="0" w:color="000000"/>
              <w:left w:val="single" w:sz="8" w:space="0" w:color="auto"/>
              <w:bottom w:val="single" w:sz="4" w:space="0" w:color="000000"/>
              <w:right w:val="single" w:sz="8" w:space="0" w:color="auto"/>
            </w:tcBorders>
            <w:shd w:val="clear" w:color="auto" w:fill="F2DBDB" w:themeFill="accent2" w:themeFillTint="33"/>
            <w:vAlign w:val="center"/>
          </w:tcPr>
          <w:p w14:paraId="0685840F" w14:textId="71BA5297"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23.7%</w:t>
            </w:r>
          </w:p>
        </w:tc>
        <w:tc>
          <w:tcPr>
            <w:tcW w:w="979" w:type="dxa"/>
            <w:tcBorders>
              <w:top w:val="single" w:sz="4" w:space="0" w:color="000000"/>
              <w:left w:val="single" w:sz="8" w:space="0" w:color="auto"/>
              <w:bottom w:val="single" w:sz="4" w:space="0" w:color="000000"/>
              <w:right w:val="single" w:sz="12" w:space="0" w:color="000000"/>
            </w:tcBorders>
            <w:shd w:val="clear" w:color="auto" w:fill="F2DBDB" w:themeFill="accent2" w:themeFillTint="33"/>
            <w:vAlign w:val="center"/>
          </w:tcPr>
          <w:p w14:paraId="29180784" w14:textId="44963FFE" w:rsidR="006251C0" w:rsidRPr="00BB0086" w:rsidRDefault="00E66A1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87</w:t>
            </w:r>
          </w:p>
        </w:tc>
      </w:tr>
      <w:tr w:rsidR="006251C0" w:rsidRPr="00BB0086" w14:paraId="7DAA3BE6" w14:textId="75E013E6" w:rsidTr="00E94E62">
        <w:tblPrEx>
          <w:tblBorders>
            <w:top w:val="none" w:sz="0" w:space="0" w:color="auto"/>
          </w:tblBorders>
        </w:tblPrEx>
        <w:trPr>
          <w:jc w:val="center"/>
        </w:trPr>
        <w:tc>
          <w:tcPr>
            <w:tcW w:w="2415" w:type="dxa"/>
            <w:tcBorders>
              <w:top w:val="single" w:sz="4" w:space="0" w:color="000000"/>
              <w:left w:val="single" w:sz="12" w:space="0" w:color="000000"/>
              <w:bottom w:val="single" w:sz="12" w:space="0" w:color="000000"/>
              <w:right w:val="single" w:sz="18" w:space="0" w:color="000000"/>
            </w:tcBorders>
            <w:shd w:val="clear" w:color="auto" w:fill="auto"/>
            <w:vAlign w:val="center"/>
          </w:tcPr>
          <w:p w14:paraId="37250BE7" w14:textId="07DC88C9" w:rsidR="006251C0" w:rsidRPr="00BB0086" w:rsidRDefault="006251C0" w:rsidP="006251C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BB0086">
              <w:rPr>
                <w:rFonts w:ascii="Verdana" w:eastAsia="Times New Roman" w:hAnsi="Verdana"/>
                <w:sz w:val="20"/>
                <w:szCs w:val="20"/>
              </w:rPr>
              <w:t>Advanced degree</w:t>
            </w:r>
          </w:p>
        </w:tc>
        <w:tc>
          <w:tcPr>
            <w:tcW w:w="990" w:type="dxa"/>
            <w:tcBorders>
              <w:top w:val="single" w:sz="4" w:space="0" w:color="000000"/>
              <w:left w:val="single" w:sz="8" w:space="0" w:color="000000"/>
              <w:bottom w:val="single" w:sz="12" w:space="0" w:color="000000"/>
              <w:right w:val="single" w:sz="8" w:space="0" w:color="000000"/>
            </w:tcBorders>
            <w:shd w:val="clear" w:color="auto" w:fill="F2DBDB" w:themeFill="accent2" w:themeFillTint="33"/>
            <w:vAlign w:val="center"/>
          </w:tcPr>
          <w:p w14:paraId="23466646" w14:textId="50C4EEDB"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23.0%</w:t>
            </w:r>
          </w:p>
        </w:tc>
        <w:tc>
          <w:tcPr>
            <w:tcW w:w="990" w:type="dxa"/>
            <w:tcBorders>
              <w:top w:val="single" w:sz="4" w:space="0" w:color="000000"/>
              <w:left w:val="single" w:sz="8" w:space="0" w:color="000000"/>
              <w:bottom w:val="single" w:sz="12" w:space="0" w:color="000000"/>
              <w:right w:val="single" w:sz="12" w:space="0" w:color="000000"/>
            </w:tcBorders>
            <w:shd w:val="clear" w:color="auto" w:fill="F2DBDB" w:themeFill="accent2" w:themeFillTint="33"/>
            <w:vAlign w:val="center"/>
          </w:tcPr>
          <w:p w14:paraId="5ECE5E99" w14:textId="556867C4" w:rsidR="006251C0" w:rsidRPr="00BB0086" w:rsidRDefault="006251C0" w:rsidP="00E94E62">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BB0086">
              <w:rPr>
                <w:rFonts w:ascii="Verdana" w:eastAsia="Times New Roman" w:hAnsi="Verdana"/>
                <w:sz w:val="20"/>
                <w:szCs w:val="20"/>
              </w:rPr>
              <w:t>165</w:t>
            </w:r>
          </w:p>
        </w:tc>
        <w:tc>
          <w:tcPr>
            <w:tcW w:w="990" w:type="dxa"/>
            <w:tcBorders>
              <w:top w:val="single" w:sz="4" w:space="0" w:color="000000"/>
              <w:left w:val="single" w:sz="8" w:space="0" w:color="000000"/>
              <w:bottom w:val="single" w:sz="12" w:space="0" w:color="000000"/>
              <w:right w:val="single" w:sz="8" w:space="0" w:color="000000"/>
            </w:tcBorders>
            <w:shd w:val="clear" w:color="auto" w:fill="F2DBDB" w:themeFill="accent2" w:themeFillTint="33"/>
            <w:vAlign w:val="center"/>
          </w:tcPr>
          <w:p w14:paraId="2E100540" w14:textId="23A41F8B" w:rsidR="006251C0" w:rsidRPr="00BB0086" w:rsidRDefault="00294F39" w:rsidP="00E94E6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BB0086">
              <w:rPr>
                <w:rFonts w:ascii="Verdana" w:eastAsia="Times New Roman" w:hAnsi="Verdana"/>
                <w:sz w:val="20"/>
                <w:szCs w:val="20"/>
              </w:rPr>
              <w:t>19.7%</w:t>
            </w:r>
          </w:p>
        </w:tc>
        <w:tc>
          <w:tcPr>
            <w:tcW w:w="990" w:type="dxa"/>
            <w:tcBorders>
              <w:top w:val="single" w:sz="4" w:space="0" w:color="000000"/>
              <w:left w:val="single" w:sz="8" w:space="0" w:color="000000"/>
              <w:bottom w:val="single" w:sz="12" w:space="0" w:color="000000"/>
              <w:right w:val="single" w:sz="12" w:space="0" w:color="000000"/>
            </w:tcBorders>
            <w:shd w:val="clear" w:color="auto" w:fill="F2DBDB" w:themeFill="accent2" w:themeFillTint="33"/>
            <w:vAlign w:val="center"/>
          </w:tcPr>
          <w:p w14:paraId="37A630C8" w14:textId="5837EB7D" w:rsidR="006251C0" w:rsidRPr="00BB0086" w:rsidRDefault="00294F39" w:rsidP="00E94E6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BB0086">
              <w:rPr>
                <w:rFonts w:ascii="Verdana" w:eastAsia="Times New Roman" w:hAnsi="Verdana"/>
                <w:sz w:val="20"/>
                <w:szCs w:val="20"/>
              </w:rPr>
              <w:t>211</w:t>
            </w:r>
          </w:p>
        </w:tc>
        <w:tc>
          <w:tcPr>
            <w:tcW w:w="990" w:type="dxa"/>
            <w:tcBorders>
              <w:top w:val="single" w:sz="4" w:space="0" w:color="000000"/>
              <w:left w:val="single" w:sz="8" w:space="0" w:color="000000"/>
              <w:bottom w:val="single" w:sz="12" w:space="0" w:color="000000"/>
              <w:right w:val="single" w:sz="8" w:space="0" w:color="auto"/>
            </w:tcBorders>
            <w:shd w:val="clear" w:color="auto" w:fill="F2DBDB" w:themeFill="accent2" w:themeFillTint="33"/>
            <w:vAlign w:val="center"/>
          </w:tcPr>
          <w:p w14:paraId="0D572681" w14:textId="0D784651" w:rsidR="006251C0" w:rsidRPr="00BB0086" w:rsidRDefault="006A3431" w:rsidP="00E94E6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BB0086">
              <w:rPr>
                <w:rFonts w:ascii="Verdana" w:eastAsia="Times New Roman" w:hAnsi="Verdana"/>
                <w:sz w:val="20"/>
                <w:szCs w:val="20"/>
              </w:rPr>
              <w:t>16.9%</w:t>
            </w:r>
          </w:p>
        </w:tc>
        <w:tc>
          <w:tcPr>
            <w:tcW w:w="990" w:type="dxa"/>
            <w:tcBorders>
              <w:top w:val="single" w:sz="4" w:space="0" w:color="000000"/>
              <w:left w:val="single" w:sz="8" w:space="0" w:color="auto"/>
              <w:bottom w:val="single" w:sz="12" w:space="0" w:color="000000"/>
              <w:right w:val="single" w:sz="12" w:space="0" w:color="000000"/>
            </w:tcBorders>
            <w:shd w:val="clear" w:color="auto" w:fill="F2DBDB" w:themeFill="accent2" w:themeFillTint="33"/>
            <w:vAlign w:val="center"/>
          </w:tcPr>
          <w:p w14:paraId="2DC95B50" w14:textId="51F391D3" w:rsidR="006251C0" w:rsidRPr="00BB0086" w:rsidRDefault="006A3431" w:rsidP="00E94E6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BB0086">
              <w:rPr>
                <w:rFonts w:ascii="Verdana" w:eastAsia="Times New Roman" w:hAnsi="Verdana"/>
                <w:sz w:val="20"/>
                <w:szCs w:val="20"/>
              </w:rPr>
              <w:t>178</w:t>
            </w:r>
          </w:p>
        </w:tc>
        <w:tc>
          <w:tcPr>
            <w:tcW w:w="1001" w:type="dxa"/>
            <w:tcBorders>
              <w:top w:val="single" w:sz="4" w:space="0" w:color="000000"/>
              <w:left w:val="single" w:sz="8" w:space="0" w:color="auto"/>
              <w:bottom w:val="single" w:sz="12" w:space="0" w:color="000000"/>
              <w:right w:val="single" w:sz="8" w:space="0" w:color="auto"/>
            </w:tcBorders>
            <w:shd w:val="clear" w:color="auto" w:fill="F2DBDB" w:themeFill="accent2" w:themeFillTint="33"/>
            <w:vAlign w:val="center"/>
          </w:tcPr>
          <w:p w14:paraId="52D05AEB" w14:textId="616F3987" w:rsidR="006251C0" w:rsidRPr="00BB0086" w:rsidRDefault="00E66A10" w:rsidP="00E94E6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BB0086">
              <w:rPr>
                <w:rFonts w:ascii="Verdana" w:eastAsia="Times New Roman" w:hAnsi="Verdana"/>
                <w:sz w:val="20"/>
                <w:szCs w:val="20"/>
              </w:rPr>
              <w:t>27.3%</w:t>
            </w:r>
          </w:p>
        </w:tc>
        <w:tc>
          <w:tcPr>
            <w:tcW w:w="979" w:type="dxa"/>
            <w:tcBorders>
              <w:top w:val="single" w:sz="4" w:space="0" w:color="000000"/>
              <w:left w:val="single" w:sz="8" w:space="0" w:color="auto"/>
              <w:bottom w:val="single" w:sz="12" w:space="0" w:color="000000"/>
              <w:right w:val="single" w:sz="12" w:space="0" w:color="000000"/>
            </w:tcBorders>
            <w:shd w:val="clear" w:color="auto" w:fill="F2DBDB" w:themeFill="accent2" w:themeFillTint="33"/>
            <w:vAlign w:val="center"/>
          </w:tcPr>
          <w:p w14:paraId="30684249" w14:textId="14A48F9C" w:rsidR="006251C0" w:rsidRPr="00BB0086" w:rsidRDefault="00E66A10" w:rsidP="00E94E6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BB0086">
              <w:rPr>
                <w:rFonts w:ascii="Verdana" w:eastAsia="Times New Roman" w:hAnsi="Verdana"/>
                <w:sz w:val="20"/>
                <w:szCs w:val="20"/>
              </w:rPr>
              <w:t>197</w:t>
            </w:r>
          </w:p>
        </w:tc>
      </w:tr>
    </w:tbl>
    <w:p w14:paraId="06C8DF31" w14:textId="6F1A76B2" w:rsidR="00495212" w:rsidRPr="00BB0086" w:rsidRDefault="00495212" w:rsidP="00E66A10">
      <w:pPr>
        <w:pStyle w:val="NoSpacing"/>
        <w:ind w:hanging="450"/>
        <w:contextualSpacing/>
        <w:rPr>
          <w:rFonts w:ascii="Verdana" w:hAnsi="Verdana"/>
          <w:sz w:val="16"/>
          <w:szCs w:val="16"/>
        </w:rPr>
      </w:pPr>
      <w:r w:rsidRPr="00BB0086">
        <w:rPr>
          <w:rFonts w:ascii="Verdana" w:hAnsi="Verdana"/>
          <w:sz w:val="16"/>
          <w:szCs w:val="16"/>
        </w:rPr>
        <w:t xml:space="preserve">Based on The Media Audit’s </w:t>
      </w:r>
      <w:r w:rsidR="00E66A10" w:rsidRPr="00BB0086">
        <w:rPr>
          <w:rFonts w:ascii="Verdana" w:hAnsi="Verdana"/>
          <w:sz w:val="16"/>
          <w:szCs w:val="16"/>
        </w:rPr>
        <w:t xml:space="preserve">Winter and </w:t>
      </w:r>
      <w:r w:rsidRPr="00BB0086">
        <w:rPr>
          <w:rFonts w:ascii="Verdana" w:hAnsi="Verdana"/>
          <w:sz w:val="16"/>
          <w:szCs w:val="16"/>
        </w:rPr>
        <w:t>Spring 2019 surveys</w:t>
      </w:r>
    </w:p>
    <w:p w14:paraId="6DC49CD3" w14:textId="77777777" w:rsidR="00F94CE8" w:rsidRPr="00BB0086" w:rsidRDefault="00F94CE8" w:rsidP="00F94CE8">
      <w:pPr>
        <w:pStyle w:val="NoSpacing"/>
        <w:contextualSpacing/>
        <w:rPr>
          <w:sz w:val="20"/>
          <w:szCs w:val="20"/>
        </w:rPr>
      </w:pPr>
    </w:p>
    <w:p w14:paraId="2AC14BFB" w14:textId="77777777" w:rsidR="00F94CE8" w:rsidRPr="00BB0086" w:rsidRDefault="00F94CE8" w:rsidP="00F94CE8">
      <w:pPr>
        <w:pStyle w:val="NoSpacing"/>
        <w:contextualSpacing/>
        <w:rPr>
          <w:sz w:val="20"/>
          <w:szCs w:val="20"/>
        </w:rPr>
      </w:pPr>
    </w:p>
    <w:p w14:paraId="3C35B056" w14:textId="77777777" w:rsidR="00F94CE8" w:rsidRPr="00BB0086" w:rsidRDefault="00F94CE8" w:rsidP="00F94CE8">
      <w:pPr>
        <w:pStyle w:val="NoSpacing"/>
        <w:contextualSpacing/>
        <w:rPr>
          <w:sz w:val="20"/>
          <w:szCs w:val="20"/>
        </w:rPr>
      </w:pPr>
    </w:p>
    <w:p w14:paraId="72BAAFC7" w14:textId="4BC03782" w:rsidR="00F94CE8" w:rsidRPr="00BB0086" w:rsidRDefault="00F94CE8" w:rsidP="00F94CE8">
      <w:pPr>
        <w:spacing w:after="0" w:line="240" w:lineRule="auto"/>
        <w:rPr>
          <w:rFonts w:ascii="Verdana" w:hAnsi="Verdana"/>
          <w:sz w:val="16"/>
          <w:szCs w:val="16"/>
        </w:rPr>
      </w:pPr>
      <w:r w:rsidRPr="00BB0086">
        <w:rPr>
          <w:rFonts w:ascii="Verdana" w:hAnsi="Verdana"/>
          <w:i/>
          <w:sz w:val="16"/>
        </w:rPr>
        <w:lastRenderedPageBreak/>
        <w:t>Sources:</w:t>
      </w:r>
      <w:r w:rsidRPr="00BB0086">
        <w:rPr>
          <w:rFonts w:ascii="Verdana" w:hAnsi="Verdana"/>
          <w:sz w:val="16"/>
        </w:rPr>
        <w:t xml:space="preserve"> </w:t>
      </w:r>
      <w:r w:rsidR="00BB0086" w:rsidRPr="00BB0086">
        <w:rPr>
          <w:sz w:val="16"/>
          <w:szCs w:val="16"/>
        </w:rPr>
        <w:t xml:space="preserve">US Census Bureau </w:t>
      </w:r>
      <w:r w:rsidRPr="00BB0086">
        <w:rPr>
          <w:rFonts w:ascii="Verdana" w:hAnsi="Verdana"/>
          <w:sz w:val="16"/>
          <w:szCs w:val="16"/>
        </w:rPr>
        <w:t xml:space="preserve">Website, </w:t>
      </w:r>
      <w:r w:rsidR="00A12BB9" w:rsidRPr="00BB0086">
        <w:rPr>
          <w:rFonts w:ascii="Verdana" w:hAnsi="Verdana"/>
          <w:sz w:val="16"/>
          <w:szCs w:val="16"/>
        </w:rPr>
        <w:t>5</w:t>
      </w:r>
      <w:r w:rsidR="00306D88" w:rsidRPr="00BB0086">
        <w:rPr>
          <w:rFonts w:ascii="Verdana" w:hAnsi="Verdana"/>
          <w:sz w:val="16"/>
          <w:szCs w:val="16"/>
        </w:rPr>
        <w:t>/1</w:t>
      </w:r>
      <w:r w:rsidR="002E1F38" w:rsidRPr="00BB0086">
        <w:rPr>
          <w:rFonts w:ascii="Verdana" w:hAnsi="Verdana"/>
          <w:sz w:val="16"/>
          <w:szCs w:val="16"/>
        </w:rPr>
        <w:t>9</w:t>
      </w:r>
      <w:r w:rsidRPr="00BB0086">
        <w:rPr>
          <w:rFonts w:ascii="Verdana" w:hAnsi="Verdana"/>
          <w:sz w:val="16"/>
          <w:szCs w:val="16"/>
        </w:rPr>
        <w:t xml:space="preserve">; </w:t>
      </w:r>
      <w:r w:rsidR="00BB0086" w:rsidRPr="00BB0086">
        <w:rPr>
          <w:sz w:val="16"/>
          <w:szCs w:val="16"/>
        </w:rPr>
        <w:t xml:space="preserve">My Moving Reviews </w:t>
      </w:r>
      <w:r w:rsidRPr="00BB0086">
        <w:rPr>
          <w:rFonts w:ascii="Verdana" w:hAnsi="Verdana"/>
          <w:sz w:val="16"/>
          <w:szCs w:val="16"/>
        </w:rPr>
        <w:t xml:space="preserve">Website, </w:t>
      </w:r>
      <w:r w:rsidR="00A12BB9" w:rsidRPr="00BB0086">
        <w:rPr>
          <w:rFonts w:ascii="Verdana" w:hAnsi="Verdana"/>
          <w:sz w:val="16"/>
          <w:szCs w:val="16"/>
        </w:rPr>
        <w:t>5</w:t>
      </w:r>
      <w:r w:rsidR="00306D88" w:rsidRPr="00BB0086">
        <w:rPr>
          <w:rFonts w:ascii="Verdana" w:hAnsi="Verdana"/>
          <w:sz w:val="16"/>
          <w:szCs w:val="16"/>
        </w:rPr>
        <w:t>/1</w:t>
      </w:r>
      <w:r w:rsidR="002E1F38" w:rsidRPr="00BB0086">
        <w:rPr>
          <w:rFonts w:ascii="Verdana" w:hAnsi="Verdana"/>
          <w:sz w:val="16"/>
          <w:szCs w:val="16"/>
        </w:rPr>
        <w:t>9</w:t>
      </w:r>
      <w:r w:rsidRPr="00BB0086">
        <w:rPr>
          <w:rFonts w:ascii="Verdana" w:hAnsi="Verdana"/>
          <w:sz w:val="16"/>
          <w:szCs w:val="16"/>
        </w:rPr>
        <w:t xml:space="preserve">; </w:t>
      </w:r>
      <w:r w:rsidR="00BB0086" w:rsidRPr="00BB0086">
        <w:rPr>
          <w:sz w:val="16"/>
          <w:szCs w:val="16"/>
        </w:rPr>
        <w:t xml:space="preserve">American Moving &amp; Storage Association </w:t>
      </w:r>
      <w:r w:rsidRPr="00BB0086">
        <w:rPr>
          <w:rFonts w:ascii="Verdana" w:hAnsi="Verdana"/>
          <w:sz w:val="16"/>
          <w:szCs w:val="16"/>
        </w:rPr>
        <w:t>Website</w:t>
      </w:r>
      <w:r w:rsidR="00A00453" w:rsidRPr="00BB0086">
        <w:rPr>
          <w:rFonts w:ascii="Verdana" w:hAnsi="Verdana"/>
          <w:sz w:val="16"/>
          <w:szCs w:val="16"/>
        </w:rPr>
        <w:t xml:space="preserve">, </w:t>
      </w:r>
      <w:r w:rsidR="00A12BB9" w:rsidRPr="00BB0086">
        <w:rPr>
          <w:rFonts w:ascii="Verdana" w:hAnsi="Verdana"/>
          <w:sz w:val="16"/>
          <w:szCs w:val="16"/>
        </w:rPr>
        <w:t>5</w:t>
      </w:r>
      <w:r w:rsidR="00306D88" w:rsidRPr="00BB0086">
        <w:rPr>
          <w:rFonts w:ascii="Verdana" w:hAnsi="Verdana"/>
          <w:sz w:val="16"/>
          <w:szCs w:val="16"/>
        </w:rPr>
        <w:t>/1</w:t>
      </w:r>
      <w:r w:rsidR="002E1F38" w:rsidRPr="00BB0086">
        <w:rPr>
          <w:rFonts w:ascii="Verdana" w:hAnsi="Verdana"/>
          <w:sz w:val="16"/>
          <w:szCs w:val="16"/>
        </w:rPr>
        <w:t>9</w:t>
      </w:r>
      <w:r w:rsidR="00BB0086" w:rsidRPr="00BB0086">
        <w:rPr>
          <w:rFonts w:ascii="Verdana" w:hAnsi="Verdana"/>
          <w:sz w:val="16"/>
          <w:szCs w:val="16"/>
        </w:rPr>
        <w:t xml:space="preserve">; </w:t>
      </w:r>
      <w:r w:rsidR="00BB0086" w:rsidRPr="00BB0086">
        <w:rPr>
          <w:sz w:val="16"/>
          <w:szCs w:val="16"/>
        </w:rPr>
        <w:t>Enterprise Storage Forum Website</w:t>
      </w:r>
      <w:r w:rsidR="00BB0086" w:rsidRPr="00BB0086">
        <w:rPr>
          <w:rFonts w:ascii="Verdana" w:hAnsi="Verdana"/>
          <w:sz w:val="16"/>
          <w:szCs w:val="16"/>
        </w:rPr>
        <w:t>, 5/19;</w:t>
      </w:r>
      <w:r w:rsidR="00BB0086" w:rsidRPr="00BB0086">
        <w:rPr>
          <w:sz w:val="16"/>
          <w:szCs w:val="16"/>
        </w:rPr>
        <w:t xml:space="preserve"> </w:t>
      </w:r>
      <w:r w:rsidR="00BB0086" w:rsidRPr="00BB0086">
        <w:rPr>
          <w:sz w:val="16"/>
          <w:szCs w:val="16"/>
        </w:rPr>
        <w:t>National Association of REALTORS</w:t>
      </w:r>
      <w:r w:rsidR="00BB0086" w:rsidRPr="00BB0086">
        <w:rPr>
          <w:sz w:val="16"/>
          <w:szCs w:val="16"/>
          <w:vertAlign w:val="superscript"/>
        </w:rPr>
        <w:t xml:space="preserve">® </w:t>
      </w:r>
      <w:r w:rsidR="00BB0086" w:rsidRPr="00BB0086">
        <w:rPr>
          <w:sz w:val="16"/>
          <w:szCs w:val="16"/>
        </w:rPr>
        <w:t>Website</w:t>
      </w:r>
      <w:r w:rsidR="00BB0086" w:rsidRPr="00BB0086">
        <w:rPr>
          <w:rFonts w:ascii="Verdana" w:hAnsi="Verdana"/>
          <w:sz w:val="16"/>
          <w:szCs w:val="16"/>
        </w:rPr>
        <w:t>, 5/19;</w:t>
      </w:r>
      <w:r w:rsidR="00BB0086" w:rsidRPr="00BB0086">
        <w:rPr>
          <w:sz w:val="16"/>
          <w:szCs w:val="16"/>
        </w:rPr>
        <w:t xml:space="preserve"> </w:t>
      </w:r>
      <w:r w:rsidR="00BB0086" w:rsidRPr="00BB0086">
        <w:rPr>
          <w:sz w:val="16"/>
          <w:szCs w:val="16"/>
        </w:rPr>
        <w:t>CRN Website</w:t>
      </w:r>
      <w:r w:rsidR="00BB0086" w:rsidRPr="00BB0086">
        <w:rPr>
          <w:rFonts w:ascii="Verdana" w:hAnsi="Verdana"/>
          <w:sz w:val="16"/>
          <w:szCs w:val="16"/>
        </w:rPr>
        <w:t>, 5/19;</w:t>
      </w:r>
      <w:r w:rsidR="00BB0086" w:rsidRPr="00BB0086">
        <w:rPr>
          <w:sz w:val="16"/>
          <w:szCs w:val="16"/>
        </w:rPr>
        <w:t xml:space="preserve"> </w:t>
      </w:r>
      <w:r w:rsidR="00BB0086" w:rsidRPr="00BB0086">
        <w:rPr>
          <w:sz w:val="16"/>
          <w:szCs w:val="16"/>
        </w:rPr>
        <w:t>Transport Topics Website</w:t>
      </w:r>
      <w:r w:rsidR="00BB0086" w:rsidRPr="00BB0086">
        <w:rPr>
          <w:rFonts w:ascii="Verdana" w:hAnsi="Verdana"/>
          <w:sz w:val="16"/>
          <w:szCs w:val="16"/>
        </w:rPr>
        <w:t>, 5/19;</w:t>
      </w:r>
      <w:r w:rsidR="00BB0086" w:rsidRPr="00BB0086">
        <w:rPr>
          <w:sz w:val="16"/>
          <w:szCs w:val="16"/>
        </w:rPr>
        <w:t xml:space="preserve"> </w:t>
      </w:r>
      <w:r w:rsidR="00BB0086" w:rsidRPr="00BB0086">
        <w:rPr>
          <w:sz w:val="16"/>
          <w:szCs w:val="16"/>
        </w:rPr>
        <w:t>International Van Lines Website</w:t>
      </w:r>
      <w:r w:rsidR="00BB0086" w:rsidRPr="00BB0086">
        <w:rPr>
          <w:rFonts w:ascii="Verdana" w:hAnsi="Verdana"/>
          <w:sz w:val="16"/>
          <w:szCs w:val="16"/>
        </w:rPr>
        <w:t>, 5/19;</w:t>
      </w:r>
      <w:r w:rsidR="00BB0086" w:rsidRPr="00BB0086">
        <w:rPr>
          <w:sz w:val="16"/>
          <w:szCs w:val="16"/>
        </w:rPr>
        <w:t xml:space="preserve"> </w:t>
      </w:r>
      <w:r w:rsidR="00BB0086" w:rsidRPr="00BB0086">
        <w:rPr>
          <w:sz w:val="16"/>
          <w:szCs w:val="16"/>
        </w:rPr>
        <w:t>The Media Audit Website</w:t>
      </w:r>
      <w:r w:rsidR="00BB0086" w:rsidRPr="00BB0086">
        <w:rPr>
          <w:rFonts w:ascii="Verdana" w:hAnsi="Verdana"/>
          <w:sz w:val="16"/>
          <w:szCs w:val="16"/>
        </w:rPr>
        <w:t>, 5/19</w:t>
      </w:r>
      <w:r w:rsidR="00BB0086" w:rsidRPr="00BB0086">
        <w:rPr>
          <w:rFonts w:ascii="Verdana" w:hAnsi="Verdana"/>
          <w:sz w:val="16"/>
          <w:szCs w:val="16"/>
        </w:rPr>
        <w:t>.</w:t>
      </w:r>
    </w:p>
    <w:p w14:paraId="7EF64BA4" w14:textId="77777777" w:rsidR="00F94CE8" w:rsidRPr="00BB0086" w:rsidRDefault="00F94CE8" w:rsidP="00F94CE8">
      <w:pPr>
        <w:spacing w:after="0" w:line="240" w:lineRule="auto"/>
        <w:rPr>
          <w:rFonts w:ascii="Verdana" w:hAnsi="Verdana"/>
          <w:sz w:val="16"/>
        </w:rPr>
      </w:pPr>
    </w:p>
    <w:p w14:paraId="49C0D793" w14:textId="1FFC2A5C" w:rsidR="00F94CE8" w:rsidRPr="00BB0086" w:rsidRDefault="00F94CE8" w:rsidP="00F94CE8">
      <w:pPr>
        <w:spacing w:after="0" w:line="240" w:lineRule="auto"/>
        <w:rPr>
          <w:rFonts w:ascii="Verdana" w:hAnsi="Verdana"/>
          <w:strike/>
          <w:sz w:val="16"/>
        </w:rPr>
      </w:pPr>
      <w:r w:rsidRPr="00BB0086">
        <w:rPr>
          <w:rFonts w:ascii="Verdana" w:hAnsi="Verdana"/>
          <w:i/>
          <w:sz w:val="16"/>
        </w:rPr>
        <w:t>Updated</w:t>
      </w:r>
      <w:r w:rsidR="003F0FE1" w:rsidRPr="00BB0086">
        <w:rPr>
          <w:rFonts w:ascii="Verdana" w:hAnsi="Verdana"/>
          <w:sz w:val="16"/>
        </w:rPr>
        <w:t xml:space="preserve">: </w:t>
      </w:r>
      <w:r w:rsidR="00A12BB9" w:rsidRPr="00BB0086">
        <w:rPr>
          <w:rFonts w:ascii="Verdana" w:hAnsi="Verdana"/>
          <w:sz w:val="16"/>
        </w:rPr>
        <w:t>May</w:t>
      </w:r>
      <w:r w:rsidR="002E1F38" w:rsidRPr="00BB0086">
        <w:rPr>
          <w:rFonts w:ascii="Verdana" w:hAnsi="Verdana"/>
          <w:sz w:val="16"/>
        </w:rPr>
        <w:t xml:space="preserve"> 2019</w:t>
      </w:r>
    </w:p>
    <w:p w14:paraId="061B0C21" w14:textId="77777777" w:rsidR="00F94CE8" w:rsidRPr="00BB0086" w:rsidRDefault="00F94CE8" w:rsidP="00F94CE8">
      <w:pPr>
        <w:pStyle w:val="NoSpacing"/>
        <w:contextualSpacing/>
        <w:rPr>
          <w:sz w:val="20"/>
          <w:szCs w:val="20"/>
        </w:rPr>
      </w:pPr>
    </w:p>
    <w:p w14:paraId="56AD0CC7" w14:textId="36A96073" w:rsidR="00F94CE8" w:rsidRPr="00BB0086" w:rsidRDefault="00F94CE8" w:rsidP="00F94CE8">
      <w:pPr>
        <w:pStyle w:val="NoSpacing"/>
        <w:contextualSpacing/>
        <w:rPr>
          <w:sz w:val="16"/>
          <w:szCs w:val="16"/>
        </w:rPr>
      </w:pPr>
      <w:r w:rsidRPr="00BB0086">
        <w:rPr>
          <w:rFonts w:ascii="Verdana" w:hAnsi="Verdana"/>
          <w:sz w:val="16"/>
          <w:szCs w:val="16"/>
        </w:rPr>
        <w:t>©</w:t>
      </w:r>
      <w:r w:rsidR="00306D88" w:rsidRPr="00BB0086">
        <w:rPr>
          <w:sz w:val="16"/>
          <w:szCs w:val="16"/>
        </w:rPr>
        <w:t xml:space="preserve"> 201</w:t>
      </w:r>
      <w:r w:rsidR="00875007" w:rsidRPr="00BB0086">
        <w:rPr>
          <w:sz w:val="16"/>
          <w:szCs w:val="16"/>
        </w:rPr>
        <w:t>9</w:t>
      </w:r>
      <w:r w:rsidRPr="00BB0086">
        <w:rPr>
          <w:sz w:val="16"/>
          <w:szCs w:val="16"/>
        </w:rPr>
        <w:t xml:space="preserve"> Media Group Online, Inc. All rights reserved.</w:t>
      </w:r>
    </w:p>
    <w:p w14:paraId="47D01060" w14:textId="64A6C5D5" w:rsidR="00F94CE8" w:rsidRPr="00BB0086" w:rsidRDefault="00F94CE8" w:rsidP="00260DE9">
      <w:pPr>
        <w:pStyle w:val="NoSpacing"/>
        <w:rPr>
          <w:sz w:val="20"/>
          <w:szCs w:val="20"/>
        </w:rPr>
      </w:pPr>
    </w:p>
    <w:p w14:paraId="6D0066ED" w14:textId="4379772D" w:rsidR="00AE1F72" w:rsidRPr="00BB0086" w:rsidRDefault="00AE1F72" w:rsidP="00260DE9">
      <w:pPr>
        <w:pStyle w:val="NoSpacing"/>
        <w:rPr>
          <w:sz w:val="20"/>
          <w:szCs w:val="20"/>
        </w:rPr>
      </w:pPr>
    </w:p>
    <w:p w14:paraId="25DDD48A" w14:textId="4A2F67C8" w:rsidR="00AE1F72" w:rsidRPr="00BB0086" w:rsidRDefault="00AE1F72">
      <w:pPr>
        <w:rPr>
          <w:sz w:val="20"/>
          <w:szCs w:val="20"/>
        </w:rPr>
      </w:pPr>
      <w:r w:rsidRPr="00BB0086">
        <w:rPr>
          <w:sz w:val="20"/>
          <w:szCs w:val="20"/>
        </w:rPr>
        <w:br w:type="page"/>
      </w:r>
    </w:p>
    <w:p w14:paraId="392FDD45" w14:textId="77777777" w:rsidR="00AE1F72" w:rsidRPr="00BB0086" w:rsidRDefault="00AE1F72" w:rsidP="00AE1F72">
      <w:pPr>
        <w:pStyle w:val="NoSpacing"/>
        <w:jc w:val="center"/>
        <w:rPr>
          <w:b/>
          <w:color w:val="0070C0"/>
          <w:sz w:val="20"/>
          <w:szCs w:val="20"/>
        </w:rPr>
      </w:pPr>
      <w:r w:rsidRPr="00BB0086">
        <w:rPr>
          <w:b/>
          <w:color w:val="0070C0"/>
          <w:sz w:val="20"/>
          <w:szCs w:val="20"/>
        </w:rPr>
        <w:lastRenderedPageBreak/>
        <w:t>For Your Local and Station Information</w:t>
      </w:r>
    </w:p>
    <w:p w14:paraId="17AD3F99" w14:textId="77777777" w:rsidR="00AE1F72" w:rsidRPr="00BB0086" w:rsidRDefault="00AE1F72" w:rsidP="00260DE9">
      <w:pPr>
        <w:pStyle w:val="NoSpacing"/>
        <w:rPr>
          <w:sz w:val="20"/>
          <w:szCs w:val="20"/>
        </w:rPr>
      </w:pPr>
    </w:p>
    <w:sectPr w:rsidR="00AE1F72" w:rsidRPr="00BB0086"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D4A9" w14:textId="77777777" w:rsidR="00965343" w:rsidRDefault="00965343" w:rsidP="00260DE9">
      <w:pPr>
        <w:spacing w:after="0" w:line="240" w:lineRule="auto"/>
      </w:pPr>
      <w:r>
        <w:separator/>
      </w:r>
    </w:p>
  </w:endnote>
  <w:endnote w:type="continuationSeparator" w:id="0">
    <w:p w14:paraId="0B0FBA7A" w14:textId="77777777" w:rsidR="00965343" w:rsidRDefault="00965343"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63B7" w14:textId="77777777" w:rsidR="00495212" w:rsidRDefault="00495212"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495212" w:rsidRPr="0097480E" w:rsidRDefault="00495212"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10974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8BE4" w14:textId="77777777" w:rsidR="00965343" w:rsidRDefault="00965343" w:rsidP="00260DE9">
      <w:pPr>
        <w:spacing w:after="0" w:line="240" w:lineRule="auto"/>
      </w:pPr>
      <w:r>
        <w:separator/>
      </w:r>
    </w:p>
  </w:footnote>
  <w:footnote w:type="continuationSeparator" w:id="0">
    <w:p w14:paraId="2E11AD71" w14:textId="77777777" w:rsidR="00965343" w:rsidRDefault="00965343"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DC73" w14:textId="77777777" w:rsidR="00495212" w:rsidRDefault="00495212">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36D9D"/>
    <w:multiLevelType w:val="hybridMultilevel"/>
    <w:tmpl w:val="2A6C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F0796"/>
    <w:multiLevelType w:val="hybridMultilevel"/>
    <w:tmpl w:val="6CE0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D185D"/>
    <w:multiLevelType w:val="hybridMultilevel"/>
    <w:tmpl w:val="AF1EC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FD0442"/>
    <w:multiLevelType w:val="hybridMultilevel"/>
    <w:tmpl w:val="26F2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A96A80"/>
    <w:multiLevelType w:val="hybridMultilevel"/>
    <w:tmpl w:val="091CD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19767B"/>
    <w:multiLevelType w:val="hybridMultilevel"/>
    <w:tmpl w:val="D084E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52A8"/>
    <w:rsid w:val="000522CD"/>
    <w:rsid w:val="00055281"/>
    <w:rsid w:val="000577D6"/>
    <w:rsid w:val="000830D7"/>
    <w:rsid w:val="000D7C07"/>
    <w:rsid w:val="00112A85"/>
    <w:rsid w:val="00196B46"/>
    <w:rsid w:val="001B64B0"/>
    <w:rsid w:val="00235883"/>
    <w:rsid w:val="002553CD"/>
    <w:rsid w:val="00260DE9"/>
    <w:rsid w:val="002671ED"/>
    <w:rsid w:val="00294474"/>
    <w:rsid w:val="00294F39"/>
    <w:rsid w:val="002A4A73"/>
    <w:rsid w:val="002A6286"/>
    <w:rsid w:val="002E1F38"/>
    <w:rsid w:val="00306D88"/>
    <w:rsid w:val="003966BF"/>
    <w:rsid w:val="003B417B"/>
    <w:rsid w:val="003E2E9B"/>
    <w:rsid w:val="003F0FE1"/>
    <w:rsid w:val="00412473"/>
    <w:rsid w:val="00422A36"/>
    <w:rsid w:val="0045212B"/>
    <w:rsid w:val="00494CA5"/>
    <w:rsid w:val="00495212"/>
    <w:rsid w:val="00520014"/>
    <w:rsid w:val="00571D6A"/>
    <w:rsid w:val="00596832"/>
    <w:rsid w:val="005F2FD7"/>
    <w:rsid w:val="006251C0"/>
    <w:rsid w:val="00635FF3"/>
    <w:rsid w:val="00637CB9"/>
    <w:rsid w:val="00657B52"/>
    <w:rsid w:val="006A3431"/>
    <w:rsid w:val="006D76A5"/>
    <w:rsid w:val="006E6275"/>
    <w:rsid w:val="0071795E"/>
    <w:rsid w:val="007257B5"/>
    <w:rsid w:val="007862CF"/>
    <w:rsid w:val="00793BD0"/>
    <w:rsid w:val="007B6E29"/>
    <w:rsid w:val="007D3185"/>
    <w:rsid w:val="00875007"/>
    <w:rsid w:val="0088505B"/>
    <w:rsid w:val="0089324F"/>
    <w:rsid w:val="00931A86"/>
    <w:rsid w:val="009419F0"/>
    <w:rsid w:val="00965343"/>
    <w:rsid w:val="0097480E"/>
    <w:rsid w:val="009A3EBE"/>
    <w:rsid w:val="009A6479"/>
    <w:rsid w:val="00A00453"/>
    <w:rsid w:val="00A031C1"/>
    <w:rsid w:val="00A06FFD"/>
    <w:rsid w:val="00A12BB9"/>
    <w:rsid w:val="00A55AAE"/>
    <w:rsid w:val="00A71026"/>
    <w:rsid w:val="00AE1F72"/>
    <w:rsid w:val="00AE71B7"/>
    <w:rsid w:val="00B33B46"/>
    <w:rsid w:val="00BB0086"/>
    <w:rsid w:val="00BC0DB8"/>
    <w:rsid w:val="00BE4BEC"/>
    <w:rsid w:val="00BE6652"/>
    <w:rsid w:val="00C147E3"/>
    <w:rsid w:val="00C54007"/>
    <w:rsid w:val="00C91201"/>
    <w:rsid w:val="00CB7B61"/>
    <w:rsid w:val="00CE3B31"/>
    <w:rsid w:val="00D26223"/>
    <w:rsid w:val="00D747C3"/>
    <w:rsid w:val="00DC1098"/>
    <w:rsid w:val="00DC4F7C"/>
    <w:rsid w:val="00DE0FDD"/>
    <w:rsid w:val="00E272FE"/>
    <w:rsid w:val="00E31C88"/>
    <w:rsid w:val="00E35332"/>
    <w:rsid w:val="00E4141C"/>
    <w:rsid w:val="00E45F8D"/>
    <w:rsid w:val="00E66A10"/>
    <w:rsid w:val="00E94E62"/>
    <w:rsid w:val="00EA65B2"/>
    <w:rsid w:val="00ED42A4"/>
    <w:rsid w:val="00EF6801"/>
    <w:rsid w:val="00EF6AB9"/>
    <w:rsid w:val="00F2704A"/>
    <w:rsid w:val="00F43643"/>
    <w:rsid w:val="00F70E29"/>
    <w:rsid w:val="00F94CE8"/>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 w:type="paragraph" w:styleId="ListParagraph">
    <w:name w:val="List Paragraph"/>
    <w:basedOn w:val="Normal"/>
    <w:uiPriority w:val="34"/>
    <w:qFormat/>
    <w:rsid w:val="00F4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4763C-D6C9-9E44-BB55-8067FAC6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2019-05-27T18:30:00Z</dcterms:created>
  <dcterms:modified xsi:type="dcterms:W3CDTF">2019-05-27T18:30:00Z</dcterms:modified>
</cp:coreProperties>
</file>