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49F06" w14:textId="0EDB12F9" w:rsidR="00F94CE8" w:rsidRPr="00E862B3" w:rsidRDefault="0026348E" w:rsidP="00F94CE8">
      <w:pPr>
        <w:pStyle w:val="NoSpacing"/>
        <w:rPr>
          <w:sz w:val="20"/>
          <w:szCs w:val="20"/>
        </w:rPr>
      </w:pPr>
      <w:r w:rsidRPr="00E862B3">
        <w:rPr>
          <w:b/>
          <w:color w:val="FF0000"/>
          <w:sz w:val="20"/>
          <w:szCs w:val="20"/>
        </w:rPr>
        <w:t>Furniture Market 2019</w:t>
      </w:r>
    </w:p>
    <w:p w14:paraId="79457408" w14:textId="77777777" w:rsidR="00260DE9" w:rsidRPr="00E862B3" w:rsidRDefault="00260DE9" w:rsidP="00AB1210">
      <w:pPr>
        <w:pStyle w:val="NoSpacing"/>
        <w:contextualSpacing/>
        <w:mirrorIndents/>
        <w:rPr>
          <w:rFonts w:ascii="Verdana" w:hAnsi="Verdana"/>
          <w:sz w:val="20"/>
          <w:szCs w:val="20"/>
        </w:rPr>
      </w:pPr>
    </w:p>
    <w:p w14:paraId="72BAC641" w14:textId="77777777" w:rsidR="00AB1210" w:rsidRPr="00E862B3" w:rsidRDefault="00AB1210" w:rsidP="00AB1210">
      <w:pPr>
        <w:spacing w:after="0" w:line="240" w:lineRule="auto"/>
        <w:contextualSpacing/>
        <w:mirrorIndents/>
        <w:jc w:val="center"/>
        <w:rPr>
          <w:rFonts w:ascii="Verdana" w:hAnsi="Verdana"/>
          <w:b/>
          <w:color w:val="0070C0"/>
          <w:sz w:val="20"/>
          <w:szCs w:val="20"/>
        </w:rPr>
      </w:pPr>
      <w:r w:rsidRPr="00E862B3">
        <w:rPr>
          <w:rFonts w:ascii="Verdana" w:hAnsi="Verdana"/>
          <w:b/>
          <w:color w:val="0070C0"/>
          <w:sz w:val="20"/>
          <w:szCs w:val="20"/>
        </w:rPr>
        <w:t>A Puzzling Market Reversal</w:t>
      </w:r>
    </w:p>
    <w:p w14:paraId="02549FFB" w14:textId="77777777" w:rsidR="00AB1210" w:rsidRPr="00E862B3" w:rsidRDefault="00AB1210" w:rsidP="00AB1210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5CD1B25F" w14:textId="005952B6" w:rsidR="00AB1210" w:rsidRPr="00E862B3" w:rsidRDefault="00AB1210" w:rsidP="00AB1210">
      <w:pPr>
        <w:pStyle w:val="ListParagraph"/>
        <w:numPr>
          <w:ilvl w:val="0"/>
          <w:numId w:val="1"/>
        </w:numPr>
        <w:spacing w:after="0" w:line="240" w:lineRule="auto"/>
        <w:mirrorIndents/>
        <w:rPr>
          <w:rFonts w:ascii="Verdana" w:hAnsi="Verdana"/>
          <w:sz w:val="20"/>
          <w:szCs w:val="20"/>
        </w:rPr>
      </w:pPr>
      <w:r w:rsidRPr="00E862B3">
        <w:rPr>
          <w:rFonts w:ascii="Verdana" w:hAnsi="Verdana"/>
          <w:sz w:val="20"/>
          <w:szCs w:val="20"/>
        </w:rPr>
        <w:t>According to the US Census Bureau, “furniture stores” (NAICS 4421)</w:t>
      </w:r>
      <w:r w:rsidR="00E862B3">
        <w:rPr>
          <w:rFonts w:ascii="Verdana" w:hAnsi="Verdana"/>
          <w:sz w:val="20"/>
          <w:szCs w:val="20"/>
        </w:rPr>
        <w:t>,</w:t>
      </w:r>
      <w:r w:rsidRPr="00E862B3">
        <w:rPr>
          <w:rFonts w:ascii="Verdana" w:hAnsi="Verdana"/>
          <w:sz w:val="20"/>
          <w:szCs w:val="20"/>
        </w:rPr>
        <w:t xml:space="preserve"> had excellent 2018 sales, increasing 6.3%, to a total of $63.68 billion. “Home furnishings stores” (NAICS 4422) didn’t fare as well, with a 1.8% decrease in sales, to $52.94 billion.</w:t>
      </w:r>
    </w:p>
    <w:p w14:paraId="793DC71A" w14:textId="77777777" w:rsidR="00AB1210" w:rsidRPr="00E862B3" w:rsidRDefault="00AB1210" w:rsidP="00AB1210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36577D36" w14:textId="69452882" w:rsidR="00AB1210" w:rsidRPr="00E862B3" w:rsidRDefault="00AB1210" w:rsidP="00AB1210">
      <w:pPr>
        <w:pStyle w:val="ListParagraph"/>
        <w:numPr>
          <w:ilvl w:val="0"/>
          <w:numId w:val="1"/>
        </w:numPr>
        <w:spacing w:after="0" w:line="240" w:lineRule="auto"/>
        <w:mirrorIndents/>
        <w:rPr>
          <w:rFonts w:ascii="Verdana" w:hAnsi="Verdana"/>
          <w:sz w:val="20"/>
          <w:szCs w:val="20"/>
        </w:rPr>
      </w:pPr>
      <w:r w:rsidRPr="00E862B3">
        <w:rPr>
          <w:rFonts w:ascii="Verdana" w:hAnsi="Verdana"/>
          <w:sz w:val="20"/>
          <w:szCs w:val="20"/>
        </w:rPr>
        <w:t xml:space="preserve">Both categories, however, had flat sales </w:t>
      </w:r>
      <w:r w:rsidR="00E862B3">
        <w:rPr>
          <w:rFonts w:ascii="Verdana" w:hAnsi="Verdana"/>
          <w:sz w:val="20"/>
          <w:szCs w:val="20"/>
        </w:rPr>
        <w:t>during</w:t>
      </w:r>
      <w:r w:rsidRPr="00E862B3">
        <w:rPr>
          <w:rFonts w:ascii="Verdana" w:hAnsi="Verdana"/>
          <w:sz w:val="20"/>
          <w:szCs w:val="20"/>
        </w:rPr>
        <w:t xml:space="preserve"> the first half of 2019. Consumers continue to spend their money, but not enough of it for furniture and furnishings, although some furniture items are exempted from pending tariffs.</w:t>
      </w:r>
    </w:p>
    <w:p w14:paraId="4354DCAB" w14:textId="77777777" w:rsidR="00AB1210" w:rsidRPr="00E862B3" w:rsidRDefault="00AB1210" w:rsidP="00AB1210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56B579F6" w14:textId="5EEB8C5D" w:rsidR="00AB1210" w:rsidRPr="00E862B3" w:rsidRDefault="00AB1210" w:rsidP="00AB1210">
      <w:pPr>
        <w:pStyle w:val="ListParagraph"/>
        <w:numPr>
          <w:ilvl w:val="0"/>
          <w:numId w:val="1"/>
        </w:numPr>
        <w:spacing w:after="0" w:line="240" w:lineRule="auto"/>
        <w:mirrorIndents/>
        <w:rPr>
          <w:rFonts w:ascii="Verdana" w:hAnsi="Verdana"/>
          <w:sz w:val="20"/>
          <w:szCs w:val="20"/>
        </w:rPr>
      </w:pPr>
      <w:r w:rsidRPr="00E862B3">
        <w:rPr>
          <w:rFonts w:ascii="Verdana" w:hAnsi="Verdana"/>
          <w:sz w:val="20"/>
          <w:szCs w:val="20"/>
        </w:rPr>
        <w:t>During the latest month (August 2019) for which retail sales data is available, furniture and home furnishings stores increased sales a meager 0.1%</w:t>
      </w:r>
      <w:r w:rsidR="00EB6340" w:rsidRPr="00E862B3">
        <w:rPr>
          <w:rFonts w:ascii="Verdana" w:hAnsi="Verdana"/>
          <w:sz w:val="20"/>
          <w:szCs w:val="20"/>
        </w:rPr>
        <w:t>,</w:t>
      </w:r>
      <w:r w:rsidR="00E9269F" w:rsidRPr="00E862B3">
        <w:rPr>
          <w:rFonts w:ascii="Verdana" w:hAnsi="Verdana"/>
          <w:sz w:val="20"/>
          <w:szCs w:val="20"/>
        </w:rPr>
        <w:t xml:space="preserve"> compared to August 2018, or a total of $9.71 billion. Total August 2019 retail sales increased 4.1%.</w:t>
      </w:r>
    </w:p>
    <w:p w14:paraId="32C622F0" w14:textId="77777777" w:rsidR="00AB1210" w:rsidRPr="00E862B3" w:rsidRDefault="00AB1210" w:rsidP="00AB1210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401B88D7" w14:textId="7B41A651" w:rsidR="008A7FFD" w:rsidRPr="00E862B3" w:rsidRDefault="008A7FFD" w:rsidP="008A7FFD">
      <w:pPr>
        <w:pStyle w:val="Header"/>
        <w:contextualSpacing/>
        <w:jc w:val="center"/>
        <w:rPr>
          <w:b/>
          <w:sz w:val="20"/>
          <w:szCs w:val="20"/>
        </w:rPr>
      </w:pPr>
      <w:r w:rsidRPr="00E862B3">
        <w:rPr>
          <w:b/>
          <w:sz w:val="20"/>
          <w:szCs w:val="20"/>
        </w:rPr>
        <w:t>Retail Furniture and Home Furnishing Stores Sales, 2017</w:t>
      </w:r>
      <w:r w:rsidRPr="00E862B3">
        <w:rPr>
          <w:rFonts w:ascii="Verdana" w:hAnsi="Verdana"/>
          <w:b/>
          <w:sz w:val="20"/>
          <w:szCs w:val="20"/>
        </w:rPr>
        <w:t>–</w:t>
      </w:r>
      <w:r w:rsidRPr="00E862B3">
        <w:rPr>
          <w:b/>
          <w:sz w:val="20"/>
          <w:szCs w:val="20"/>
        </w:rPr>
        <w:t>2019</w:t>
      </w:r>
    </w:p>
    <w:tbl>
      <w:tblPr>
        <w:tblW w:w="6480" w:type="dxa"/>
        <w:jc w:val="center"/>
        <w:tblBorders>
          <w:left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155"/>
        <w:gridCol w:w="1185"/>
        <w:gridCol w:w="1170"/>
        <w:gridCol w:w="1170"/>
      </w:tblGrid>
      <w:tr w:rsidR="008A7FFD" w:rsidRPr="00E862B3" w14:paraId="1B8EB567" w14:textId="77777777" w:rsidTr="001F008B">
        <w:trPr>
          <w:jc w:val="center"/>
        </w:trPr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8" w:space="0" w:color="000000"/>
            </w:tcBorders>
            <w:vAlign w:val="center"/>
          </w:tcPr>
          <w:p w14:paraId="7B5D711A" w14:textId="77777777" w:rsidR="008A7FFD" w:rsidRPr="00E862B3" w:rsidRDefault="008A7FFD" w:rsidP="008D2FA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E862B3">
              <w:rPr>
                <w:rFonts w:eastAsia="Times New Roman"/>
                <w:sz w:val="20"/>
                <w:szCs w:val="20"/>
              </w:rPr>
              <w:t>Period</w:t>
            </w:r>
          </w:p>
        </w:tc>
        <w:tc>
          <w:tcPr>
            <w:tcW w:w="2340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4AC8D9D9" w14:textId="73965D54" w:rsidR="008A7FFD" w:rsidRPr="00E862B3" w:rsidRDefault="008A7FFD" w:rsidP="008A7FFD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E862B3">
              <w:rPr>
                <w:rFonts w:eastAsia="Times New Roman"/>
                <w:sz w:val="20"/>
                <w:szCs w:val="20"/>
              </w:rPr>
              <w:t>Furniture Stores</w:t>
            </w:r>
          </w:p>
        </w:tc>
        <w:tc>
          <w:tcPr>
            <w:tcW w:w="2340" w:type="dxa"/>
            <w:gridSpan w:val="2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14:paraId="165A26C9" w14:textId="2BEA550D" w:rsidR="008A7FFD" w:rsidRPr="00E862B3" w:rsidRDefault="008A7FFD" w:rsidP="008A7FFD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E862B3">
              <w:rPr>
                <w:rFonts w:eastAsia="Times New Roman"/>
                <w:sz w:val="20"/>
                <w:szCs w:val="20"/>
              </w:rPr>
              <w:t>Home Furnishings Stores</w:t>
            </w:r>
          </w:p>
        </w:tc>
      </w:tr>
      <w:tr w:rsidR="008A7FFD" w:rsidRPr="00E862B3" w14:paraId="73032754" w14:textId="45AAB6C7" w:rsidTr="001F008B">
        <w:trPr>
          <w:jc w:val="center"/>
        </w:trPr>
        <w:tc>
          <w:tcPr>
            <w:tcW w:w="1800" w:type="dxa"/>
            <w:tcBorders>
              <w:top w:val="single" w:sz="12" w:space="0" w:color="auto"/>
              <w:left w:val="single" w:sz="12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4CD1F5BA" w14:textId="6B9F33D1" w:rsidR="008A7FFD" w:rsidRPr="00E862B3" w:rsidRDefault="008A7FFD" w:rsidP="008A7FF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12" w:space="0" w:color="auto"/>
              <w:left w:val="single" w:sz="8" w:space="0" w:color="000000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CCBB16" w14:textId="3868B8CE" w:rsidR="008A7FFD" w:rsidRPr="00E862B3" w:rsidRDefault="008A7FFD" w:rsidP="008A7FFD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E862B3">
              <w:rPr>
                <w:rFonts w:eastAsia="Times New Roman"/>
                <w:sz w:val="20"/>
                <w:szCs w:val="20"/>
              </w:rPr>
              <w:t>Total</w:t>
            </w:r>
          </w:p>
        </w:tc>
        <w:tc>
          <w:tcPr>
            <w:tcW w:w="1185" w:type="dxa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C5DDA4" w14:textId="73FA7FC1" w:rsidR="008A7FFD" w:rsidRPr="00E862B3" w:rsidRDefault="008A7FFD" w:rsidP="008A7FFD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E862B3">
              <w:rPr>
                <w:rFonts w:eastAsia="Times New Roman"/>
                <w:sz w:val="20"/>
                <w:szCs w:val="20"/>
              </w:rPr>
              <w:t>Change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31FEA8" w14:textId="27F1FDB7" w:rsidR="008A7FFD" w:rsidRPr="00E862B3" w:rsidRDefault="008A7FFD" w:rsidP="008A7FFD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E862B3">
              <w:rPr>
                <w:rFonts w:eastAsia="Times New Roman"/>
                <w:sz w:val="20"/>
                <w:szCs w:val="20"/>
              </w:rPr>
              <w:t>Total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4132BBBF" w14:textId="099F1480" w:rsidR="008A7FFD" w:rsidRPr="00E862B3" w:rsidRDefault="008A7FFD" w:rsidP="008A7FFD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E862B3">
              <w:rPr>
                <w:rFonts w:eastAsia="Times New Roman"/>
                <w:sz w:val="20"/>
                <w:szCs w:val="20"/>
              </w:rPr>
              <w:t>Change</w:t>
            </w:r>
          </w:p>
        </w:tc>
      </w:tr>
      <w:tr w:rsidR="008A7FFD" w:rsidRPr="00E862B3" w14:paraId="0FA12C2D" w14:textId="77777777" w:rsidTr="001F008B">
        <w:trPr>
          <w:jc w:val="center"/>
        </w:trPr>
        <w:tc>
          <w:tcPr>
            <w:tcW w:w="1800" w:type="dxa"/>
            <w:tcBorders>
              <w:top w:val="single" w:sz="18" w:space="0" w:color="auto"/>
              <w:left w:val="single" w:sz="12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4620543" w14:textId="5593B8AF" w:rsidR="008A7FFD" w:rsidRPr="00E862B3" w:rsidRDefault="008A7FFD" w:rsidP="008A7FF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E862B3">
              <w:rPr>
                <w:rFonts w:eastAsia="Times New Roman"/>
                <w:sz w:val="20"/>
                <w:szCs w:val="20"/>
              </w:rPr>
              <w:t>2017</w:t>
            </w:r>
          </w:p>
        </w:tc>
        <w:tc>
          <w:tcPr>
            <w:tcW w:w="1155" w:type="dxa"/>
            <w:tcBorders>
              <w:top w:val="single" w:sz="18" w:space="0" w:color="auto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F70B2A1" w14:textId="4DBA1145" w:rsidR="008A7FFD" w:rsidRPr="00E862B3" w:rsidRDefault="008A7FFD" w:rsidP="008A7FFD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-34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 w:rsidRPr="00E862B3">
              <w:rPr>
                <w:rFonts w:eastAsia="Times New Roman"/>
                <w:sz w:val="20"/>
                <w:szCs w:val="20"/>
              </w:rPr>
              <w:t>$59.90 B</w:t>
            </w:r>
          </w:p>
        </w:tc>
        <w:tc>
          <w:tcPr>
            <w:tcW w:w="1185" w:type="dxa"/>
            <w:tcBorders>
              <w:top w:val="single" w:sz="18" w:space="0" w:color="auto"/>
              <w:left w:val="single" w:sz="8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0181BBC9" w14:textId="0CE35093" w:rsidR="008A7FFD" w:rsidRPr="00E862B3" w:rsidRDefault="008A7FFD" w:rsidP="008A7FFD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single" w:sz="12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90DB3B5" w14:textId="1E9B1DDC" w:rsidR="008A7FFD" w:rsidRPr="00E862B3" w:rsidRDefault="008A7FFD" w:rsidP="008A7FFD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 w:rsidRPr="00E862B3">
              <w:rPr>
                <w:rFonts w:eastAsia="Times New Roman"/>
                <w:sz w:val="20"/>
                <w:szCs w:val="20"/>
              </w:rPr>
              <w:t>$53.89 B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8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DB40E9B" w14:textId="3DA09B48" w:rsidR="008A7FFD" w:rsidRPr="00E862B3" w:rsidRDefault="008A7FFD" w:rsidP="008A7FFD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8A7FFD" w:rsidRPr="00E862B3" w14:paraId="42D4B7C8" w14:textId="3E3BE073" w:rsidTr="001F008B">
        <w:trPr>
          <w:jc w:val="center"/>
        </w:trPr>
        <w:tc>
          <w:tcPr>
            <w:tcW w:w="18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B08B979" w14:textId="77777777" w:rsidR="008A7FFD" w:rsidRPr="00E862B3" w:rsidRDefault="008A7FFD" w:rsidP="008A7FF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E862B3">
              <w:rPr>
                <w:rFonts w:eastAsia="Times New Roman"/>
                <w:sz w:val="20"/>
                <w:szCs w:val="20"/>
              </w:rPr>
              <w:t>2018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8C04FD0" w14:textId="5B931AF7" w:rsidR="008A7FFD" w:rsidRPr="00E862B3" w:rsidRDefault="008A7FFD" w:rsidP="008A7FFD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 w:rsidRPr="00E862B3">
              <w:rPr>
                <w:rFonts w:eastAsia="Times New Roman"/>
                <w:sz w:val="20"/>
                <w:szCs w:val="20"/>
              </w:rPr>
              <w:t>$63.68 B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5FCF76DA" w14:textId="3F2E893F" w:rsidR="008A7FFD" w:rsidRPr="00E862B3" w:rsidRDefault="008A7FFD" w:rsidP="008A7FFD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 w:rsidRPr="00E862B3">
              <w:rPr>
                <w:rFonts w:eastAsia="Times New Roman"/>
                <w:sz w:val="20"/>
                <w:szCs w:val="20"/>
              </w:rPr>
              <w:t>+6.3%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4C2DE3F" w14:textId="47A66A83" w:rsidR="008A7FFD" w:rsidRPr="00E862B3" w:rsidRDefault="008A7FFD" w:rsidP="008A7FFD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 w:rsidRPr="00E862B3">
              <w:rPr>
                <w:rFonts w:eastAsia="Times New Roman"/>
                <w:sz w:val="20"/>
                <w:szCs w:val="20"/>
              </w:rPr>
              <w:t>$52.94 B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14:paraId="1A1E5EEA" w14:textId="1E613E6D" w:rsidR="008A7FFD" w:rsidRPr="00E862B3" w:rsidRDefault="008A7FFD" w:rsidP="008A7FFD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 w:rsidRPr="00E862B3">
              <w:rPr>
                <w:rFonts w:eastAsia="Times New Roman"/>
                <w:sz w:val="20"/>
                <w:szCs w:val="20"/>
              </w:rPr>
              <w:t>-1.8%</w:t>
            </w:r>
          </w:p>
        </w:tc>
      </w:tr>
      <w:tr w:rsidR="008A7FFD" w:rsidRPr="00E862B3" w14:paraId="13CB2BFD" w14:textId="4849AFA0" w:rsidTr="001F008B">
        <w:trPr>
          <w:jc w:val="center"/>
        </w:trPr>
        <w:tc>
          <w:tcPr>
            <w:tcW w:w="18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59B4387" w14:textId="77777777" w:rsidR="008A7FFD" w:rsidRPr="00E862B3" w:rsidRDefault="008A7FFD" w:rsidP="008A7FF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E862B3">
              <w:rPr>
                <w:rFonts w:eastAsia="Times New Roman"/>
                <w:sz w:val="20"/>
                <w:szCs w:val="20"/>
              </w:rPr>
              <w:t>Q4 2017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07A8402" w14:textId="7BA77D7A" w:rsidR="008A7FFD" w:rsidRPr="00E862B3" w:rsidRDefault="008A7FFD" w:rsidP="008A7FFD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 w:rsidRPr="00E862B3">
              <w:rPr>
                <w:rFonts w:eastAsia="Times New Roman"/>
                <w:sz w:val="20"/>
                <w:szCs w:val="20"/>
              </w:rPr>
              <w:t>$15.70 B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6966F37C" w14:textId="77777777" w:rsidR="008A7FFD" w:rsidRPr="00E862B3" w:rsidRDefault="008A7FFD" w:rsidP="008A7FFD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7272534" w14:textId="53F78EE5" w:rsidR="008A7FFD" w:rsidRPr="00E862B3" w:rsidRDefault="00A914FF" w:rsidP="008A7FFD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 w:rsidRPr="00E862B3">
              <w:rPr>
                <w:rFonts w:eastAsia="Times New Roman"/>
                <w:sz w:val="20"/>
                <w:szCs w:val="20"/>
              </w:rPr>
              <w:t>$15.59 B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DE375E0" w14:textId="790FA04F" w:rsidR="008A7FFD" w:rsidRPr="00E862B3" w:rsidRDefault="008A7FFD" w:rsidP="00A914F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8A7FFD" w:rsidRPr="00E862B3" w14:paraId="4C5EE5B3" w14:textId="72DFAE0D" w:rsidTr="001F008B">
        <w:trPr>
          <w:jc w:val="center"/>
        </w:trPr>
        <w:tc>
          <w:tcPr>
            <w:tcW w:w="18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4633231" w14:textId="77777777" w:rsidR="008A7FFD" w:rsidRPr="00E862B3" w:rsidRDefault="008A7FFD" w:rsidP="008A7FF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E862B3">
              <w:rPr>
                <w:rFonts w:eastAsia="Times New Roman"/>
                <w:sz w:val="20"/>
                <w:szCs w:val="20"/>
              </w:rPr>
              <w:t>Q4 2018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C89853A" w14:textId="16DC5E59" w:rsidR="008A7FFD" w:rsidRPr="00E862B3" w:rsidRDefault="008A7FFD" w:rsidP="008A7FFD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 w:rsidRPr="00E862B3">
              <w:rPr>
                <w:rFonts w:eastAsia="Times New Roman"/>
                <w:sz w:val="20"/>
                <w:szCs w:val="20"/>
              </w:rPr>
              <w:t>$16.20 B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6F8539F5" w14:textId="35F87C0A" w:rsidR="008A7FFD" w:rsidRPr="00E862B3" w:rsidRDefault="008A7FFD" w:rsidP="008A7FFD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 w:rsidRPr="00E862B3">
              <w:rPr>
                <w:rFonts w:eastAsia="Times New Roman"/>
                <w:sz w:val="20"/>
                <w:szCs w:val="20"/>
              </w:rPr>
              <w:t>+3.2%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2C8CC9F" w14:textId="41B4BCBF" w:rsidR="008A7FFD" w:rsidRPr="00E862B3" w:rsidRDefault="00A914FF" w:rsidP="00A914F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-22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 w:rsidRPr="00E862B3">
              <w:rPr>
                <w:rFonts w:eastAsia="Times New Roman"/>
                <w:sz w:val="20"/>
                <w:szCs w:val="20"/>
              </w:rPr>
              <w:t>$14.98 B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14:paraId="0A25251B" w14:textId="77F82D61" w:rsidR="008A7FFD" w:rsidRPr="00E862B3" w:rsidRDefault="001F008B" w:rsidP="008A7FF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136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 w:rsidRPr="00E862B3">
              <w:rPr>
                <w:rFonts w:eastAsia="Times New Roman"/>
                <w:sz w:val="20"/>
                <w:szCs w:val="20"/>
              </w:rPr>
              <w:t>-3.9%</w:t>
            </w:r>
          </w:p>
        </w:tc>
      </w:tr>
      <w:tr w:rsidR="008A7FFD" w:rsidRPr="00E862B3" w14:paraId="42AF56CC" w14:textId="1D8A700F" w:rsidTr="001F008B">
        <w:trPr>
          <w:jc w:val="center"/>
        </w:trPr>
        <w:tc>
          <w:tcPr>
            <w:tcW w:w="18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F9EDA1E" w14:textId="2B068E84" w:rsidR="008A7FFD" w:rsidRPr="00E862B3" w:rsidRDefault="008A7FFD" w:rsidP="008A7FF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E862B3">
              <w:rPr>
                <w:rFonts w:eastAsia="Times New Roman"/>
                <w:sz w:val="20"/>
                <w:szCs w:val="20"/>
              </w:rPr>
              <w:t>Jan</w:t>
            </w:r>
            <w:r w:rsidRPr="00E862B3">
              <w:rPr>
                <w:rFonts w:ascii="Verdana" w:eastAsia="Times New Roman" w:hAnsi="Verdana"/>
                <w:sz w:val="20"/>
                <w:szCs w:val="20"/>
              </w:rPr>
              <w:t>–June 2018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C22A5CA" w14:textId="326E3A66" w:rsidR="008A7FFD" w:rsidRPr="00E862B3" w:rsidRDefault="008A7FFD" w:rsidP="008A7FFD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 w:rsidRPr="00E862B3">
              <w:rPr>
                <w:rFonts w:eastAsia="Times New Roman"/>
                <w:sz w:val="20"/>
                <w:szCs w:val="20"/>
              </w:rPr>
              <w:t>$31.09 B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605A6E4F" w14:textId="77777777" w:rsidR="008A7FFD" w:rsidRPr="00E862B3" w:rsidRDefault="008A7FFD" w:rsidP="008A7FFD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83EF7A6" w14:textId="67C219B4" w:rsidR="008A7FFD" w:rsidRPr="00E862B3" w:rsidRDefault="001F008B" w:rsidP="008A7FFD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 w:rsidRPr="00E862B3">
              <w:rPr>
                <w:rFonts w:eastAsia="Times New Roman"/>
                <w:sz w:val="20"/>
                <w:szCs w:val="20"/>
              </w:rPr>
              <w:t>$24.93 B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2F9B967" w14:textId="77777777" w:rsidR="008A7FFD" w:rsidRPr="00E862B3" w:rsidRDefault="008A7FFD" w:rsidP="008A7FFD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8A7FFD" w:rsidRPr="00E862B3" w14:paraId="5C601C76" w14:textId="140A3E5A" w:rsidTr="001F008B">
        <w:trPr>
          <w:jc w:val="center"/>
        </w:trPr>
        <w:tc>
          <w:tcPr>
            <w:tcW w:w="180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BA1B27D" w14:textId="3596169A" w:rsidR="008A7FFD" w:rsidRPr="00E862B3" w:rsidRDefault="008A7FFD" w:rsidP="008A7FF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E862B3">
              <w:rPr>
                <w:rFonts w:eastAsia="Times New Roman"/>
                <w:sz w:val="20"/>
                <w:szCs w:val="20"/>
              </w:rPr>
              <w:t>Jan</w:t>
            </w:r>
            <w:r w:rsidRPr="00E862B3">
              <w:rPr>
                <w:rFonts w:ascii="Verdana" w:eastAsia="Times New Roman" w:hAnsi="Verdana"/>
                <w:sz w:val="20"/>
                <w:szCs w:val="20"/>
              </w:rPr>
              <w:t>–June 2019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5495234" w14:textId="162372F3" w:rsidR="008A7FFD" w:rsidRPr="00E862B3" w:rsidRDefault="008A7FFD" w:rsidP="008A7FFD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 w:rsidRPr="00E862B3">
              <w:rPr>
                <w:rFonts w:eastAsia="Times New Roman"/>
                <w:sz w:val="20"/>
                <w:szCs w:val="20"/>
              </w:rPr>
              <w:t>$30.78 B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8" w:space="0" w:color="auto"/>
              <w:bottom w:val="single" w:sz="12" w:space="0" w:color="000000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14:paraId="32D5DA9E" w14:textId="6BC40669" w:rsidR="008A7FFD" w:rsidRPr="00E862B3" w:rsidRDefault="008A7FFD" w:rsidP="008A7FFD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 w:rsidRPr="00E862B3">
              <w:rPr>
                <w:rFonts w:eastAsia="Times New Roman"/>
                <w:sz w:val="20"/>
                <w:szCs w:val="20"/>
              </w:rPr>
              <w:t>-0.01%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8E38B34" w14:textId="776664C8" w:rsidR="008A7FFD" w:rsidRPr="00E862B3" w:rsidRDefault="001F008B" w:rsidP="008A7FFD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 w:rsidRPr="00E862B3">
              <w:rPr>
                <w:rFonts w:eastAsia="Times New Roman"/>
                <w:sz w:val="20"/>
                <w:szCs w:val="20"/>
              </w:rPr>
              <w:t>$24.69 B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8" w:space="0" w:color="auto"/>
              <w:bottom w:val="single" w:sz="12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14:paraId="6806AFBA" w14:textId="160BC992" w:rsidR="008A7FFD" w:rsidRPr="00E862B3" w:rsidRDefault="001F008B" w:rsidP="008A7FFD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 w:rsidRPr="00E862B3">
              <w:rPr>
                <w:rFonts w:eastAsia="Times New Roman"/>
                <w:sz w:val="20"/>
                <w:szCs w:val="20"/>
              </w:rPr>
              <w:t>-0.01%</w:t>
            </w:r>
          </w:p>
        </w:tc>
      </w:tr>
    </w:tbl>
    <w:p w14:paraId="398F4A5A" w14:textId="22395BB3" w:rsidR="00AB1210" w:rsidRPr="00E862B3" w:rsidRDefault="001F008B" w:rsidP="001F008B">
      <w:pPr>
        <w:tabs>
          <w:tab w:val="left" w:pos="1440"/>
        </w:tabs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  <w:r w:rsidRPr="00E862B3">
        <w:rPr>
          <w:sz w:val="16"/>
          <w:szCs w:val="16"/>
        </w:rPr>
        <w:tab/>
      </w:r>
      <w:r w:rsidR="008A7FFD" w:rsidRPr="00E862B3">
        <w:rPr>
          <w:sz w:val="16"/>
          <w:szCs w:val="16"/>
        </w:rPr>
        <w:t xml:space="preserve">US Census Bureau, September 2019 </w:t>
      </w:r>
    </w:p>
    <w:p w14:paraId="0A9D13D8" w14:textId="77777777" w:rsidR="00AB1210" w:rsidRPr="00E862B3" w:rsidRDefault="00AB1210" w:rsidP="00AB1210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038A171C" w14:textId="6BA0245C" w:rsidR="00AB1210" w:rsidRPr="00E862B3" w:rsidRDefault="00AB1210" w:rsidP="001F008B">
      <w:pPr>
        <w:spacing w:after="0" w:line="240" w:lineRule="auto"/>
        <w:contextualSpacing/>
        <w:mirrorIndents/>
        <w:jc w:val="center"/>
        <w:rPr>
          <w:rFonts w:ascii="Verdana" w:hAnsi="Verdana"/>
          <w:b/>
          <w:color w:val="0070C0"/>
          <w:sz w:val="20"/>
          <w:szCs w:val="20"/>
        </w:rPr>
      </w:pPr>
      <w:r w:rsidRPr="00E862B3">
        <w:rPr>
          <w:rFonts w:ascii="Verdana" w:hAnsi="Verdana"/>
          <w:b/>
          <w:color w:val="0070C0"/>
          <w:sz w:val="20"/>
          <w:szCs w:val="20"/>
        </w:rPr>
        <w:t>Orders Disorder</w:t>
      </w:r>
    </w:p>
    <w:p w14:paraId="63A5461E" w14:textId="77777777" w:rsidR="00AB1210" w:rsidRPr="00E862B3" w:rsidRDefault="00AB1210" w:rsidP="00AB1210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5DB4AF0C" w14:textId="51FE32CD" w:rsidR="001F008B" w:rsidRPr="00E862B3" w:rsidRDefault="00EB6340" w:rsidP="001F008B">
      <w:pPr>
        <w:pStyle w:val="ListParagraph"/>
        <w:numPr>
          <w:ilvl w:val="0"/>
          <w:numId w:val="3"/>
        </w:numPr>
        <w:spacing w:after="0" w:line="240" w:lineRule="auto"/>
        <w:mirrorIndents/>
        <w:rPr>
          <w:rFonts w:ascii="Verdana" w:hAnsi="Verdana"/>
          <w:sz w:val="20"/>
          <w:szCs w:val="20"/>
        </w:rPr>
      </w:pPr>
      <w:r w:rsidRPr="00E862B3">
        <w:rPr>
          <w:rFonts w:ascii="Verdana" w:hAnsi="Verdana"/>
          <w:sz w:val="20"/>
          <w:szCs w:val="20"/>
        </w:rPr>
        <w:t>D</w:t>
      </w:r>
      <w:r w:rsidR="001F008B" w:rsidRPr="00E862B3">
        <w:rPr>
          <w:rFonts w:ascii="Verdana" w:hAnsi="Verdana"/>
          <w:sz w:val="20"/>
          <w:szCs w:val="20"/>
        </w:rPr>
        <w:t>ata in Smith Leonard’s August 2019 Furniture Insights Report certainly reflects the sluggish market during the first half of 2019, as June was the 5</w:t>
      </w:r>
      <w:r w:rsidR="001F008B" w:rsidRPr="00E862B3">
        <w:rPr>
          <w:rFonts w:ascii="Verdana" w:hAnsi="Verdana"/>
          <w:sz w:val="20"/>
          <w:szCs w:val="20"/>
          <w:vertAlign w:val="superscript"/>
        </w:rPr>
        <w:t>th</w:t>
      </w:r>
      <w:r w:rsidR="001F008B" w:rsidRPr="00E862B3">
        <w:rPr>
          <w:rFonts w:ascii="Verdana" w:hAnsi="Verdana"/>
          <w:sz w:val="20"/>
          <w:szCs w:val="20"/>
        </w:rPr>
        <w:t xml:space="preserve"> consecutive month of </w:t>
      </w:r>
      <w:r w:rsidRPr="00E862B3">
        <w:rPr>
          <w:rFonts w:ascii="Verdana" w:hAnsi="Verdana"/>
          <w:sz w:val="20"/>
          <w:szCs w:val="20"/>
        </w:rPr>
        <w:t xml:space="preserve">decreases in </w:t>
      </w:r>
      <w:r w:rsidR="001F008B" w:rsidRPr="00E862B3">
        <w:rPr>
          <w:rFonts w:ascii="Verdana" w:hAnsi="Verdana"/>
          <w:sz w:val="20"/>
          <w:szCs w:val="20"/>
        </w:rPr>
        <w:t>new orders for manufacturers</w:t>
      </w:r>
      <w:r w:rsidRPr="00E862B3">
        <w:rPr>
          <w:rFonts w:ascii="Verdana" w:hAnsi="Verdana"/>
          <w:sz w:val="20"/>
          <w:szCs w:val="20"/>
        </w:rPr>
        <w:t>/</w:t>
      </w:r>
      <w:r w:rsidR="001F008B" w:rsidRPr="00E862B3">
        <w:rPr>
          <w:rFonts w:ascii="Verdana" w:hAnsi="Verdana"/>
          <w:sz w:val="20"/>
          <w:szCs w:val="20"/>
        </w:rPr>
        <w:t>distributors, or 5% less than June 201</w:t>
      </w:r>
      <w:r w:rsidR="00E862B3">
        <w:rPr>
          <w:rFonts w:ascii="Verdana" w:hAnsi="Verdana"/>
          <w:sz w:val="20"/>
          <w:szCs w:val="20"/>
        </w:rPr>
        <w:t>8</w:t>
      </w:r>
      <w:r w:rsidR="001F008B" w:rsidRPr="00E862B3">
        <w:rPr>
          <w:rFonts w:ascii="Verdana" w:hAnsi="Verdana"/>
          <w:sz w:val="20"/>
          <w:szCs w:val="20"/>
        </w:rPr>
        <w:t>.</w:t>
      </w:r>
    </w:p>
    <w:p w14:paraId="78760D25" w14:textId="6E5C1594" w:rsidR="001F008B" w:rsidRPr="00E862B3" w:rsidRDefault="001F008B" w:rsidP="001F008B">
      <w:pPr>
        <w:spacing w:after="0" w:line="240" w:lineRule="auto"/>
        <w:mirrorIndents/>
        <w:rPr>
          <w:rFonts w:ascii="Verdana" w:hAnsi="Verdana"/>
          <w:sz w:val="20"/>
          <w:szCs w:val="20"/>
        </w:rPr>
      </w:pPr>
      <w:r w:rsidRPr="00E862B3">
        <w:rPr>
          <w:rFonts w:ascii="Verdana" w:hAnsi="Verdana"/>
          <w:sz w:val="20"/>
          <w:szCs w:val="20"/>
        </w:rPr>
        <w:t xml:space="preserve"> </w:t>
      </w:r>
    </w:p>
    <w:p w14:paraId="1FA24D24" w14:textId="3A81E145" w:rsidR="001F008B" w:rsidRPr="00E862B3" w:rsidRDefault="001F008B" w:rsidP="001F008B">
      <w:pPr>
        <w:pStyle w:val="ListParagraph"/>
        <w:numPr>
          <w:ilvl w:val="0"/>
          <w:numId w:val="3"/>
        </w:numPr>
        <w:spacing w:after="0" w:line="240" w:lineRule="auto"/>
        <w:mirrorIndents/>
        <w:rPr>
          <w:rFonts w:ascii="Verdana" w:hAnsi="Verdana"/>
          <w:sz w:val="20"/>
          <w:szCs w:val="20"/>
        </w:rPr>
      </w:pPr>
      <w:r w:rsidRPr="00E862B3">
        <w:rPr>
          <w:rFonts w:ascii="Verdana" w:hAnsi="Verdana"/>
          <w:sz w:val="20"/>
          <w:szCs w:val="20"/>
        </w:rPr>
        <w:t>During the entire first half of the year, new orders decreased 3%, compared to a 6% increase for the first half of 201</w:t>
      </w:r>
      <w:r w:rsidR="00E862B3">
        <w:rPr>
          <w:rFonts w:ascii="Verdana" w:hAnsi="Verdana"/>
          <w:sz w:val="20"/>
          <w:szCs w:val="20"/>
        </w:rPr>
        <w:t>8</w:t>
      </w:r>
      <w:r w:rsidRPr="00E862B3">
        <w:rPr>
          <w:rFonts w:ascii="Verdana" w:hAnsi="Verdana"/>
          <w:sz w:val="20"/>
          <w:szCs w:val="20"/>
        </w:rPr>
        <w:t xml:space="preserve">. </w:t>
      </w:r>
      <w:r w:rsidR="009D5DEA" w:rsidRPr="00E862B3">
        <w:rPr>
          <w:rFonts w:ascii="Verdana" w:hAnsi="Verdana"/>
          <w:sz w:val="20"/>
          <w:szCs w:val="20"/>
        </w:rPr>
        <w:t xml:space="preserve">June 2019 shipments also declined (4%) from June 2018; however, 1H 2019 shipments increased 3%, essentially matching </w:t>
      </w:r>
      <w:r w:rsidR="00124BD7">
        <w:rPr>
          <w:rFonts w:ascii="Verdana" w:hAnsi="Verdana"/>
          <w:sz w:val="20"/>
          <w:szCs w:val="20"/>
        </w:rPr>
        <w:t xml:space="preserve">1H </w:t>
      </w:r>
      <w:r w:rsidR="009D5DEA" w:rsidRPr="00E862B3">
        <w:rPr>
          <w:rFonts w:ascii="Verdana" w:hAnsi="Verdana"/>
          <w:sz w:val="20"/>
          <w:szCs w:val="20"/>
        </w:rPr>
        <w:t xml:space="preserve">2018. </w:t>
      </w:r>
    </w:p>
    <w:p w14:paraId="5B2D57B5" w14:textId="77777777" w:rsidR="009D5DEA" w:rsidRPr="00E862B3" w:rsidRDefault="009D5DEA" w:rsidP="00AB1210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62FCFFA9" w14:textId="5B5982C2" w:rsidR="009D5DEA" w:rsidRPr="00E862B3" w:rsidRDefault="009D5DEA" w:rsidP="009D5DEA">
      <w:pPr>
        <w:pStyle w:val="ListParagraph"/>
        <w:numPr>
          <w:ilvl w:val="0"/>
          <w:numId w:val="3"/>
        </w:numPr>
        <w:spacing w:after="0" w:line="240" w:lineRule="auto"/>
        <w:mirrorIndents/>
        <w:rPr>
          <w:rFonts w:ascii="Verdana" w:hAnsi="Verdana"/>
          <w:sz w:val="20"/>
          <w:szCs w:val="20"/>
        </w:rPr>
      </w:pPr>
      <w:r w:rsidRPr="00E862B3">
        <w:rPr>
          <w:rFonts w:ascii="Verdana" w:hAnsi="Verdana"/>
          <w:sz w:val="20"/>
          <w:szCs w:val="20"/>
        </w:rPr>
        <w:t xml:space="preserve">According to Smith Leonard analysis, </w:t>
      </w:r>
      <w:r w:rsidR="00EB6340" w:rsidRPr="00E862B3">
        <w:rPr>
          <w:rFonts w:ascii="Verdana" w:hAnsi="Verdana"/>
          <w:sz w:val="20"/>
          <w:szCs w:val="20"/>
        </w:rPr>
        <w:t>reducing the</w:t>
      </w:r>
      <w:r w:rsidRPr="00E862B3">
        <w:rPr>
          <w:rFonts w:ascii="Verdana" w:hAnsi="Verdana"/>
          <w:sz w:val="20"/>
          <w:szCs w:val="20"/>
        </w:rPr>
        <w:t xml:space="preserve"> backlog of inventory was a primary reason shipments increased during 1H 2019. Another reason is likely the decrease from 6.12 million homes sold during 2017 to 5.96 million during 2018. </w:t>
      </w:r>
    </w:p>
    <w:p w14:paraId="3C8705DA" w14:textId="77777777" w:rsidR="009D5DEA" w:rsidRPr="00E862B3" w:rsidRDefault="009D5DEA" w:rsidP="00AB1210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5730DF29" w14:textId="687353AB" w:rsidR="009D5DEA" w:rsidRPr="00E862B3" w:rsidRDefault="009D5DEA" w:rsidP="009D5DEA">
      <w:pPr>
        <w:pStyle w:val="Header"/>
        <w:contextualSpacing/>
        <w:jc w:val="center"/>
        <w:rPr>
          <w:b/>
          <w:sz w:val="20"/>
          <w:szCs w:val="20"/>
        </w:rPr>
      </w:pPr>
      <w:r w:rsidRPr="00E862B3">
        <w:rPr>
          <w:b/>
          <w:sz w:val="20"/>
          <w:szCs w:val="20"/>
        </w:rPr>
        <w:t>Furniture Industry Business Activity, 2018 and 2019 Comparison</w:t>
      </w:r>
    </w:p>
    <w:tbl>
      <w:tblPr>
        <w:tblW w:w="7920" w:type="dxa"/>
        <w:jc w:val="center"/>
        <w:tblBorders>
          <w:top w:val="single" w:sz="8" w:space="0" w:color="000000"/>
          <w:left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080"/>
        <w:gridCol w:w="1080"/>
        <w:gridCol w:w="1080"/>
        <w:gridCol w:w="1045"/>
        <w:gridCol w:w="1115"/>
        <w:gridCol w:w="1080"/>
      </w:tblGrid>
      <w:tr w:rsidR="009D5DEA" w:rsidRPr="00E862B3" w14:paraId="09B9D299" w14:textId="77777777" w:rsidTr="00052B9A">
        <w:trPr>
          <w:trHeight w:val="285"/>
          <w:jc w:val="center"/>
        </w:trPr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08EDF97F" w14:textId="77777777" w:rsidR="009D5DEA" w:rsidRPr="00E862B3" w:rsidRDefault="009D5DEA" w:rsidP="008D2FA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E862B3">
              <w:rPr>
                <w:rFonts w:eastAsia="Times New Roman"/>
                <w:sz w:val="20"/>
                <w:szCs w:val="20"/>
              </w:rPr>
              <w:t>Metric</w:t>
            </w:r>
          </w:p>
        </w:tc>
        <w:tc>
          <w:tcPr>
            <w:tcW w:w="2160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C892932" w14:textId="44AF907C" w:rsidR="009D5DEA" w:rsidRPr="00E862B3" w:rsidRDefault="009D5DEA" w:rsidP="008D2FA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E862B3">
              <w:rPr>
                <w:rFonts w:eastAsia="Times New Roman"/>
                <w:sz w:val="20"/>
                <w:szCs w:val="20"/>
              </w:rPr>
              <w:t>May</w:t>
            </w:r>
          </w:p>
        </w:tc>
        <w:tc>
          <w:tcPr>
            <w:tcW w:w="212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4FE3583" w14:textId="1A3569A1" w:rsidR="009D5DEA" w:rsidRPr="00E862B3" w:rsidRDefault="009D5DEA" w:rsidP="008D2FA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E862B3">
              <w:rPr>
                <w:rFonts w:eastAsia="Times New Roman"/>
                <w:sz w:val="20"/>
                <w:szCs w:val="20"/>
              </w:rPr>
              <w:t>June</w:t>
            </w:r>
          </w:p>
        </w:tc>
        <w:tc>
          <w:tcPr>
            <w:tcW w:w="219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757ADF8" w14:textId="6713B62D" w:rsidR="009D5DEA" w:rsidRPr="00E862B3" w:rsidRDefault="009D5DEA" w:rsidP="008D2FA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E862B3">
              <w:rPr>
                <w:rFonts w:eastAsia="Times New Roman"/>
                <w:sz w:val="20"/>
                <w:szCs w:val="20"/>
              </w:rPr>
              <w:t>Jan</w:t>
            </w:r>
            <w:r w:rsidRPr="00E862B3">
              <w:rPr>
                <w:rFonts w:ascii="Verdana" w:eastAsia="Times New Roman" w:hAnsi="Verdana"/>
                <w:sz w:val="20"/>
                <w:szCs w:val="20"/>
              </w:rPr>
              <w:t>–</w:t>
            </w:r>
            <w:r w:rsidRPr="00E862B3">
              <w:rPr>
                <w:rFonts w:eastAsia="Times New Roman"/>
                <w:sz w:val="20"/>
                <w:szCs w:val="20"/>
              </w:rPr>
              <w:t>June</w:t>
            </w:r>
          </w:p>
        </w:tc>
      </w:tr>
      <w:tr w:rsidR="009D5DEA" w:rsidRPr="00E862B3" w14:paraId="7C5B7EA1" w14:textId="77777777" w:rsidTr="00052B9A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8D0E058" w14:textId="77777777" w:rsidR="009D5DEA" w:rsidRPr="00E862B3" w:rsidRDefault="009D5DEA" w:rsidP="008D2FA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3B629D" w14:textId="22E17B59" w:rsidR="009D5DEA" w:rsidRPr="00E862B3" w:rsidRDefault="009D5DEA" w:rsidP="008D2FA3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E862B3">
              <w:rPr>
                <w:rFonts w:eastAsia="Times New Roman"/>
                <w:sz w:val="20"/>
                <w:szCs w:val="20"/>
              </w:rPr>
              <w:t>2018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1430849" w14:textId="7467857C" w:rsidR="009D5DEA" w:rsidRPr="00E862B3" w:rsidRDefault="009D5DEA" w:rsidP="008D2FA3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E862B3"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A1BDE6" w14:textId="30ECD09B" w:rsidR="009D5DEA" w:rsidRPr="00E862B3" w:rsidRDefault="009D5DEA" w:rsidP="008D2FA3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E862B3">
              <w:rPr>
                <w:rFonts w:eastAsia="Times New Roman"/>
                <w:sz w:val="20"/>
                <w:szCs w:val="20"/>
              </w:rPr>
              <w:t>2018</w:t>
            </w:r>
          </w:p>
        </w:tc>
        <w:tc>
          <w:tcPr>
            <w:tcW w:w="1045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EFEF12E" w14:textId="3E6C1C98" w:rsidR="009D5DEA" w:rsidRPr="00E862B3" w:rsidRDefault="009D5DEA" w:rsidP="008D2FA3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E862B3"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773646" w14:textId="77693625" w:rsidR="009D5DEA" w:rsidRPr="00E862B3" w:rsidRDefault="009D5DEA" w:rsidP="008D2FA3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E862B3">
              <w:rPr>
                <w:rFonts w:eastAsia="Times New Roman"/>
                <w:sz w:val="20"/>
                <w:szCs w:val="20"/>
              </w:rPr>
              <w:t>2018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969D69F" w14:textId="69DDD209" w:rsidR="009D5DEA" w:rsidRPr="00E862B3" w:rsidRDefault="009D5DEA" w:rsidP="008D2FA3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E862B3"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9D5DEA" w:rsidRPr="00E862B3" w14:paraId="010960EE" w14:textId="77777777" w:rsidTr="00052B9A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440" w:type="dxa"/>
            <w:tcBorders>
              <w:top w:val="single" w:sz="18" w:space="0" w:color="000000"/>
              <w:left w:val="single" w:sz="12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D15E3C4" w14:textId="77777777" w:rsidR="009D5DEA" w:rsidRPr="00E862B3" w:rsidRDefault="009D5DEA" w:rsidP="008D2FA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 w:rsidRPr="00E862B3">
              <w:rPr>
                <w:rFonts w:ascii="Verdana" w:eastAsia="Times New Roman" w:hAnsi="Verdana"/>
                <w:sz w:val="20"/>
                <w:szCs w:val="20"/>
              </w:rPr>
              <w:t>New orders</w:t>
            </w:r>
          </w:p>
        </w:tc>
        <w:tc>
          <w:tcPr>
            <w:tcW w:w="1080" w:type="dxa"/>
            <w:tcBorders>
              <w:top w:val="single" w:sz="1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CFCB05" w14:textId="3CEF3ADD" w:rsidR="009D5DEA" w:rsidRPr="00E862B3" w:rsidRDefault="00052B9A" w:rsidP="008D2FA3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 w:rsidRPr="00E862B3">
              <w:rPr>
                <w:rFonts w:eastAsia="Times New Roman"/>
                <w:sz w:val="20"/>
                <w:szCs w:val="20"/>
              </w:rPr>
              <w:t>2.54 M</w:t>
            </w:r>
          </w:p>
        </w:tc>
        <w:tc>
          <w:tcPr>
            <w:tcW w:w="1080" w:type="dxa"/>
            <w:tcBorders>
              <w:top w:val="single" w:sz="18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14:paraId="5DAC391C" w14:textId="5CA6BDB2" w:rsidR="009D5DEA" w:rsidRPr="00E862B3" w:rsidRDefault="00052B9A" w:rsidP="008D2FA3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 w:rsidRPr="00E862B3">
              <w:rPr>
                <w:rFonts w:eastAsia="Times New Roman"/>
                <w:sz w:val="20"/>
                <w:szCs w:val="20"/>
              </w:rPr>
              <w:t>2.47 M</w:t>
            </w:r>
          </w:p>
        </w:tc>
        <w:tc>
          <w:tcPr>
            <w:tcW w:w="1080" w:type="dxa"/>
            <w:tcBorders>
              <w:top w:val="single" w:sz="18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17CD27" w14:textId="2069F3B4" w:rsidR="009D5DEA" w:rsidRPr="00E862B3" w:rsidRDefault="00052B9A" w:rsidP="008D2FA3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 w:rsidRPr="00E862B3">
              <w:rPr>
                <w:rFonts w:eastAsia="Times New Roman"/>
                <w:sz w:val="20"/>
                <w:szCs w:val="20"/>
              </w:rPr>
              <w:t>2.54 M</w:t>
            </w:r>
          </w:p>
        </w:tc>
        <w:tc>
          <w:tcPr>
            <w:tcW w:w="1045" w:type="dxa"/>
            <w:tcBorders>
              <w:top w:val="single" w:sz="18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14:paraId="33260CD0" w14:textId="4F17FC87" w:rsidR="009D5DEA" w:rsidRPr="00E862B3" w:rsidRDefault="00052B9A" w:rsidP="008D2FA3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 w:rsidRPr="00E862B3">
              <w:rPr>
                <w:rFonts w:eastAsia="Times New Roman"/>
                <w:sz w:val="20"/>
                <w:szCs w:val="20"/>
              </w:rPr>
              <w:t>2.38 M</w:t>
            </w:r>
          </w:p>
        </w:tc>
        <w:tc>
          <w:tcPr>
            <w:tcW w:w="1115" w:type="dxa"/>
            <w:tcBorders>
              <w:top w:val="single" w:sz="18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C65184" w14:textId="0D33768C" w:rsidR="009D5DEA" w:rsidRPr="00E862B3" w:rsidRDefault="00052B9A" w:rsidP="008D2FA3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 w:rsidRPr="00E862B3">
              <w:rPr>
                <w:rFonts w:eastAsia="Times New Roman"/>
                <w:sz w:val="20"/>
                <w:szCs w:val="20"/>
              </w:rPr>
              <w:t>14.51 M</w:t>
            </w:r>
          </w:p>
        </w:tc>
        <w:tc>
          <w:tcPr>
            <w:tcW w:w="1080" w:type="dxa"/>
            <w:tcBorders>
              <w:top w:val="single" w:sz="18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14:paraId="34321982" w14:textId="7F9F307B" w:rsidR="009D5DEA" w:rsidRPr="00E862B3" w:rsidRDefault="00052B9A" w:rsidP="008D2FA3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 w:rsidRPr="00E862B3">
              <w:rPr>
                <w:rFonts w:eastAsia="Times New Roman"/>
                <w:sz w:val="20"/>
                <w:szCs w:val="20"/>
              </w:rPr>
              <w:t>14.06 M</w:t>
            </w:r>
          </w:p>
        </w:tc>
      </w:tr>
      <w:tr w:rsidR="009D5DEA" w:rsidRPr="00E862B3" w14:paraId="0C7CB45C" w14:textId="77777777" w:rsidTr="00052B9A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4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FD82FA0" w14:textId="77777777" w:rsidR="009D5DEA" w:rsidRPr="00E862B3" w:rsidRDefault="009D5DEA" w:rsidP="008D2FA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 w:rsidRPr="00E862B3">
              <w:rPr>
                <w:rFonts w:ascii="Verdana" w:eastAsia="Times New Roman" w:hAnsi="Verdana"/>
                <w:sz w:val="20"/>
                <w:szCs w:val="20"/>
              </w:rPr>
              <w:t>Shipments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A7EA91" w14:textId="6628B9E3" w:rsidR="009D5DEA" w:rsidRPr="00E862B3" w:rsidRDefault="009D5DEA" w:rsidP="008D2FA3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 w:rsidRPr="00E862B3">
              <w:rPr>
                <w:rFonts w:eastAsia="Times New Roman"/>
                <w:sz w:val="20"/>
                <w:szCs w:val="20"/>
              </w:rPr>
              <w:t>2.42 M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14:paraId="5BDE68A8" w14:textId="492EC9BA" w:rsidR="009D5DEA" w:rsidRPr="00E862B3" w:rsidRDefault="00052B9A" w:rsidP="008D2FA3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 w:rsidRPr="00E862B3">
              <w:rPr>
                <w:rFonts w:eastAsia="Times New Roman"/>
                <w:sz w:val="20"/>
                <w:szCs w:val="20"/>
              </w:rPr>
              <w:t>2.36 M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61E6C5" w14:textId="5D63D3D7" w:rsidR="009D5DEA" w:rsidRPr="00E862B3" w:rsidRDefault="00052B9A" w:rsidP="008D2FA3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 w:rsidRPr="00E862B3">
              <w:rPr>
                <w:rFonts w:eastAsia="Times New Roman"/>
                <w:sz w:val="20"/>
                <w:szCs w:val="20"/>
              </w:rPr>
              <w:t>2.66 M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14:paraId="0CDF096F" w14:textId="0B17FFB4" w:rsidR="009D5DEA" w:rsidRPr="00E862B3" w:rsidRDefault="00052B9A" w:rsidP="008D2FA3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 w:rsidRPr="00E862B3">
              <w:rPr>
                <w:rFonts w:eastAsia="Times New Roman"/>
                <w:sz w:val="20"/>
                <w:szCs w:val="20"/>
              </w:rPr>
              <w:t>2.55 M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799029" w14:textId="44084E7B" w:rsidR="009D5DEA" w:rsidRPr="00E862B3" w:rsidRDefault="00052B9A" w:rsidP="008D2FA3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 w:rsidRPr="00E862B3">
              <w:rPr>
                <w:rFonts w:eastAsia="Times New Roman"/>
                <w:sz w:val="20"/>
                <w:szCs w:val="20"/>
              </w:rPr>
              <w:t>14.18 M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14:paraId="499C4E82" w14:textId="2522A49F" w:rsidR="009D5DEA" w:rsidRPr="00E862B3" w:rsidRDefault="00052B9A" w:rsidP="008D2FA3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 w:rsidRPr="00E862B3">
              <w:rPr>
                <w:rFonts w:eastAsia="Times New Roman"/>
                <w:sz w:val="20"/>
                <w:szCs w:val="20"/>
              </w:rPr>
              <w:t>14.15 M</w:t>
            </w:r>
          </w:p>
        </w:tc>
      </w:tr>
      <w:tr w:rsidR="009D5DEA" w:rsidRPr="00E862B3" w14:paraId="4DB1010C" w14:textId="77777777" w:rsidTr="00052B9A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44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71FECD0" w14:textId="77777777" w:rsidR="009D5DEA" w:rsidRPr="00E862B3" w:rsidRDefault="009D5DEA" w:rsidP="008D2FA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 w:rsidRPr="00E862B3">
              <w:rPr>
                <w:rFonts w:ascii="Verdana" w:eastAsia="Times New Roman" w:hAnsi="Verdana"/>
                <w:sz w:val="20"/>
                <w:szCs w:val="20"/>
              </w:rPr>
              <w:t>Backlog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CCB4AB" w14:textId="60ABB88A" w:rsidR="009D5DEA" w:rsidRPr="00E862B3" w:rsidRDefault="009D5DEA" w:rsidP="008D2FA3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 w:rsidRPr="00E862B3">
              <w:rPr>
                <w:rFonts w:eastAsia="Times New Roman"/>
                <w:sz w:val="20"/>
                <w:szCs w:val="20"/>
              </w:rPr>
              <w:t>2.26 M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14:paraId="5E3BB413" w14:textId="665A9495" w:rsidR="009D5DEA" w:rsidRPr="00E862B3" w:rsidRDefault="00052B9A" w:rsidP="008D2FA3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 w:rsidRPr="00E862B3">
              <w:rPr>
                <w:rFonts w:eastAsia="Times New Roman"/>
                <w:sz w:val="20"/>
                <w:szCs w:val="20"/>
              </w:rPr>
              <w:t>2.23 M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782055" w14:textId="0CB1E3E2" w:rsidR="009D5DEA" w:rsidRPr="00E862B3" w:rsidRDefault="00052B9A" w:rsidP="008D2FA3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 w:rsidRPr="00E862B3">
              <w:rPr>
                <w:rFonts w:eastAsia="Times New Roman"/>
                <w:sz w:val="20"/>
                <w:szCs w:val="20"/>
              </w:rPr>
              <w:t>2.14 M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14:paraId="227D3825" w14:textId="1535F8EC" w:rsidR="009D5DEA" w:rsidRPr="00E862B3" w:rsidRDefault="00052B9A" w:rsidP="008D2FA3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 w:rsidRPr="00E862B3">
              <w:rPr>
                <w:rFonts w:eastAsia="Times New Roman"/>
                <w:sz w:val="20"/>
                <w:szCs w:val="20"/>
              </w:rPr>
              <w:t>2.04 M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DFA00F" w14:textId="3BC8FD58" w:rsidR="009D5DEA" w:rsidRPr="00E862B3" w:rsidRDefault="00052B9A" w:rsidP="008D2FA3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 w:rsidRPr="00E862B3">
              <w:rPr>
                <w:rFonts w:eastAsia="Times New Roman"/>
                <w:sz w:val="20"/>
                <w:szCs w:val="20"/>
              </w:rPr>
              <w:t>---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60C3743" w14:textId="5CCBEEDD" w:rsidR="009D5DEA" w:rsidRPr="00E862B3" w:rsidRDefault="00052B9A" w:rsidP="008D2FA3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 w:rsidRPr="00E862B3">
              <w:rPr>
                <w:rFonts w:eastAsia="Times New Roman"/>
                <w:sz w:val="20"/>
                <w:szCs w:val="20"/>
              </w:rPr>
              <w:t>---</w:t>
            </w:r>
          </w:p>
        </w:tc>
      </w:tr>
    </w:tbl>
    <w:p w14:paraId="1A81FF01" w14:textId="77777777" w:rsidR="009D5DEA" w:rsidRPr="00E862B3" w:rsidRDefault="009D5DEA" w:rsidP="00052B9A">
      <w:pPr>
        <w:pStyle w:val="NoSpacing"/>
        <w:tabs>
          <w:tab w:val="left" w:pos="720"/>
        </w:tabs>
        <w:contextualSpacing/>
        <w:rPr>
          <w:sz w:val="20"/>
          <w:szCs w:val="20"/>
        </w:rPr>
      </w:pPr>
      <w:r w:rsidRPr="00E862B3">
        <w:rPr>
          <w:sz w:val="16"/>
          <w:szCs w:val="16"/>
        </w:rPr>
        <w:tab/>
        <w:t>Smith Leonard PLLC, June 2018</w:t>
      </w:r>
    </w:p>
    <w:p w14:paraId="567FDF87" w14:textId="1336A6AA" w:rsidR="00AB1210" w:rsidRPr="00E862B3" w:rsidRDefault="00AB1210" w:rsidP="00E73728">
      <w:pPr>
        <w:spacing w:after="0" w:line="240" w:lineRule="auto"/>
        <w:contextualSpacing/>
        <w:mirrorIndents/>
        <w:jc w:val="center"/>
        <w:rPr>
          <w:rFonts w:ascii="Verdana" w:hAnsi="Verdana"/>
          <w:b/>
          <w:color w:val="0070C0"/>
          <w:sz w:val="20"/>
          <w:szCs w:val="20"/>
        </w:rPr>
      </w:pPr>
      <w:r w:rsidRPr="00E862B3">
        <w:rPr>
          <w:rFonts w:ascii="Verdana" w:hAnsi="Verdana"/>
          <w:b/>
          <w:color w:val="0070C0"/>
          <w:sz w:val="20"/>
          <w:szCs w:val="20"/>
        </w:rPr>
        <w:lastRenderedPageBreak/>
        <w:t>A Hot Housing Market Leads to Hot Furniture Sales</w:t>
      </w:r>
    </w:p>
    <w:p w14:paraId="02AF2B84" w14:textId="56E1A9BA" w:rsidR="00AB1210" w:rsidRPr="00E862B3" w:rsidRDefault="00AB1210" w:rsidP="00AB1210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2A3919EA" w14:textId="4BFD1042" w:rsidR="00E104AB" w:rsidRPr="00E862B3" w:rsidRDefault="00E104AB" w:rsidP="00E104AB">
      <w:pPr>
        <w:pStyle w:val="ListParagraph"/>
        <w:numPr>
          <w:ilvl w:val="0"/>
          <w:numId w:val="4"/>
        </w:numPr>
        <w:spacing w:after="0" w:line="240" w:lineRule="auto"/>
        <w:mirrorIndents/>
        <w:rPr>
          <w:rFonts w:ascii="Verdana" w:hAnsi="Verdana"/>
          <w:sz w:val="20"/>
          <w:szCs w:val="20"/>
        </w:rPr>
      </w:pPr>
      <w:r w:rsidRPr="00E862B3">
        <w:rPr>
          <w:rFonts w:ascii="Verdana" w:hAnsi="Verdana"/>
          <w:sz w:val="20"/>
          <w:szCs w:val="20"/>
        </w:rPr>
        <w:t>If fewer homes being sold was a primary reason furniture sales decreased during 1H 2019, then the trend is reflected in US Census Bureau new home sales data, which averaged 593,000/month during 2H 2018, compared to 665,000 during 1H 2019.</w:t>
      </w:r>
    </w:p>
    <w:p w14:paraId="09CA89BD" w14:textId="77777777" w:rsidR="00E73728" w:rsidRPr="00E862B3" w:rsidRDefault="00E73728" w:rsidP="00AB1210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7BD7489A" w14:textId="005975EF" w:rsidR="00E73728" w:rsidRPr="00E862B3" w:rsidRDefault="00E104AB" w:rsidP="00E104AB">
      <w:pPr>
        <w:pStyle w:val="ListParagraph"/>
        <w:numPr>
          <w:ilvl w:val="0"/>
          <w:numId w:val="4"/>
        </w:numPr>
        <w:spacing w:after="0" w:line="240" w:lineRule="auto"/>
        <w:mirrorIndents/>
        <w:rPr>
          <w:rFonts w:ascii="Verdana" w:hAnsi="Verdana"/>
          <w:sz w:val="20"/>
          <w:szCs w:val="20"/>
        </w:rPr>
      </w:pPr>
      <w:r w:rsidRPr="00E862B3">
        <w:rPr>
          <w:rFonts w:ascii="Verdana" w:hAnsi="Verdana"/>
          <w:sz w:val="20"/>
          <w:szCs w:val="20"/>
        </w:rPr>
        <w:t>Existing home sales also decreased from 2017’s 5.54 million to 2018’s 5.34 million, and were forecast to decrease more during 201</w:t>
      </w:r>
      <w:r w:rsidR="00EB6340" w:rsidRPr="00E862B3">
        <w:rPr>
          <w:rFonts w:ascii="Verdana" w:hAnsi="Verdana"/>
          <w:sz w:val="20"/>
          <w:szCs w:val="20"/>
        </w:rPr>
        <w:t>9</w:t>
      </w:r>
      <w:r w:rsidRPr="00E862B3">
        <w:rPr>
          <w:rFonts w:ascii="Verdana" w:hAnsi="Verdana"/>
          <w:sz w:val="20"/>
          <w:szCs w:val="20"/>
        </w:rPr>
        <w:t>, to 5.25 million, before rebounding to 5.46 million for 2020. The seasonally adjusted rate for August 2019 was 5.49 million.</w:t>
      </w:r>
    </w:p>
    <w:p w14:paraId="35F673E5" w14:textId="77777777" w:rsidR="00E73728" w:rsidRPr="00E862B3" w:rsidRDefault="00E73728" w:rsidP="00AB1210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1961956F" w14:textId="25146DC6" w:rsidR="00E73728" w:rsidRPr="00E862B3" w:rsidRDefault="00EB6340" w:rsidP="00E104AB">
      <w:pPr>
        <w:pStyle w:val="ListParagraph"/>
        <w:numPr>
          <w:ilvl w:val="0"/>
          <w:numId w:val="4"/>
        </w:numPr>
        <w:spacing w:after="0" w:line="240" w:lineRule="auto"/>
        <w:mirrorIndents/>
        <w:rPr>
          <w:rFonts w:ascii="Verdana" w:hAnsi="Verdana"/>
          <w:sz w:val="20"/>
          <w:szCs w:val="20"/>
        </w:rPr>
      </w:pPr>
      <w:r w:rsidRPr="00E862B3">
        <w:rPr>
          <w:rFonts w:ascii="Verdana" w:hAnsi="Verdana"/>
          <w:sz w:val="20"/>
          <w:szCs w:val="20"/>
        </w:rPr>
        <w:t>B</w:t>
      </w:r>
      <w:r w:rsidR="00E104AB" w:rsidRPr="00E862B3">
        <w:rPr>
          <w:rFonts w:ascii="Verdana" w:hAnsi="Verdana"/>
          <w:sz w:val="20"/>
          <w:szCs w:val="20"/>
        </w:rPr>
        <w:t>etter recent news is the 12.3% increase</w:t>
      </w:r>
      <w:r w:rsidR="00702DB7" w:rsidRPr="00E862B3">
        <w:rPr>
          <w:rFonts w:ascii="Verdana" w:hAnsi="Verdana"/>
          <w:sz w:val="20"/>
          <w:szCs w:val="20"/>
        </w:rPr>
        <w:t xml:space="preserve"> in new housing starts during August. The 1.364 million units w</w:t>
      </w:r>
      <w:r w:rsidRPr="00E862B3">
        <w:rPr>
          <w:rFonts w:ascii="Verdana" w:hAnsi="Verdana"/>
          <w:sz w:val="20"/>
          <w:szCs w:val="20"/>
        </w:rPr>
        <w:t>ere</w:t>
      </w:r>
      <w:r w:rsidR="00702DB7" w:rsidRPr="00E862B3">
        <w:rPr>
          <w:rFonts w:ascii="Verdana" w:hAnsi="Verdana"/>
          <w:sz w:val="20"/>
          <w:szCs w:val="20"/>
        </w:rPr>
        <w:t xml:space="preserve"> the most since June 2007; the August forecast was 1.250 million units. Analysts indicate lower interest rates are driving the market improvement.</w:t>
      </w:r>
    </w:p>
    <w:p w14:paraId="6AFD6C77" w14:textId="77777777" w:rsidR="00702DB7" w:rsidRPr="00E862B3" w:rsidRDefault="00702DB7" w:rsidP="00AB1210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042F4872" w14:textId="10443E92" w:rsidR="00702DB7" w:rsidRPr="00E862B3" w:rsidRDefault="00702DB7" w:rsidP="00702DB7">
      <w:pPr>
        <w:pStyle w:val="Header"/>
        <w:contextualSpacing/>
        <w:jc w:val="center"/>
        <w:rPr>
          <w:b/>
          <w:sz w:val="20"/>
          <w:szCs w:val="20"/>
        </w:rPr>
      </w:pPr>
      <w:r w:rsidRPr="00E862B3">
        <w:rPr>
          <w:b/>
          <w:sz w:val="20"/>
          <w:szCs w:val="20"/>
        </w:rPr>
        <w:t>New Privately-Owned Homes Sold, by Sales Price, Jan</w:t>
      </w:r>
      <w:r w:rsidRPr="00E862B3">
        <w:rPr>
          <w:rFonts w:ascii="Verdana" w:hAnsi="Verdana"/>
          <w:b/>
          <w:sz w:val="20"/>
          <w:szCs w:val="20"/>
        </w:rPr>
        <w:t>–</w:t>
      </w:r>
      <w:r w:rsidRPr="00E862B3">
        <w:rPr>
          <w:b/>
          <w:sz w:val="20"/>
          <w:szCs w:val="20"/>
        </w:rPr>
        <w:t>June 2019</w:t>
      </w:r>
    </w:p>
    <w:tbl>
      <w:tblPr>
        <w:tblW w:w="11045" w:type="dxa"/>
        <w:jc w:val="center"/>
        <w:tblBorders>
          <w:top w:val="single" w:sz="8" w:space="0" w:color="000000"/>
          <w:left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1234"/>
        <w:gridCol w:w="1234"/>
        <w:gridCol w:w="1234"/>
        <w:gridCol w:w="1235"/>
        <w:gridCol w:w="1234"/>
        <w:gridCol w:w="1234"/>
        <w:gridCol w:w="1235"/>
        <w:gridCol w:w="1235"/>
      </w:tblGrid>
      <w:tr w:rsidR="00F25678" w:rsidRPr="00E862B3" w14:paraId="7F2C70C5" w14:textId="77777777" w:rsidTr="00E862B3">
        <w:trPr>
          <w:jc w:val="center"/>
        </w:trPr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4FAED72" w14:textId="64B6B0B5" w:rsidR="00F25678" w:rsidRPr="00E862B3" w:rsidRDefault="00F25678" w:rsidP="00EB634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E862B3">
              <w:rPr>
                <w:rFonts w:eastAsia="Times New Roman"/>
                <w:sz w:val="20"/>
                <w:szCs w:val="20"/>
              </w:rPr>
              <w:t>Month</w:t>
            </w:r>
          </w:p>
        </w:tc>
        <w:tc>
          <w:tcPr>
            <w:tcW w:w="1234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4973F273" w14:textId="79ED58A6" w:rsidR="00F25678" w:rsidRPr="00E862B3" w:rsidRDefault="00F25678" w:rsidP="00EB634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E862B3">
              <w:rPr>
                <w:rFonts w:eastAsia="Times New Roman"/>
                <w:sz w:val="20"/>
                <w:szCs w:val="20"/>
              </w:rPr>
              <w:t>&lt;$150K</w:t>
            </w:r>
          </w:p>
        </w:tc>
        <w:tc>
          <w:tcPr>
            <w:tcW w:w="1234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0028FCEC" w14:textId="3CE17C40" w:rsidR="00F25678" w:rsidRPr="00E862B3" w:rsidRDefault="00F25678" w:rsidP="00EB634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E862B3">
              <w:rPr>
                <w:rFonts w:eastAsia="Times New Roman"/>
                <w:sz w:val="20"/>
                <w:szCs w:val="20"/>
              </w:rPr>
              <w:t>$150K</w:t>
            </w:r>
            <w:r w:rsidRPr="00E862B3">
              <w:rPr>
                <w:rFonts w:ascii="Verdana" w:eastAsia="Times New Roman" w:hAnsi="Verdana"/>
                <w:sz w:val="20"/>
                <w:szCs w:val="20"/>
              </w:rPr>
              <w:t>–</w:t>
            </w:r>
            <w:r w:rsidRPr="00E862B3">
              <w:rPr>
                <w:rFonts w:eastAsia="Times New Roman"/>
                <w:sz w:val="20"/>
                <w:szCs w:val="20"/>
              </w:rPr>
              <w:t>$199,999</w:t>
            </w:r>
          </w:p>
        </w:tc>
        <w:tc>
          <w:tcPr>
            <w:tcW w:w="1234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3F7BA6BA" w14:textId="2685EE2C" w:rsidR="00F25678" w:rsidRPr="00E862B3" w:rsidRDefault="00F25678" w:rsidP="00EB634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E862B3">
              <w:rPr>
                <w:rFonts w:eastAsia="Times New Roman"/>
                <w:sz w:val="20"/>
                <w:szCs w:val="20"/>
              </w:rPr>
              <w:t>$200K</w:t>
            </w:r>
            <w:r w:rsidRPr="00E862B3">
              <w:rPr>
                <w:rFonts w:ascii="Verdana" w:eastAsia="Times New Roman" w:hAnsi="Verdana"/>
                <w:sz w:val="20"/>
                <w:szCs w:val="20"/>
              </w:rPr>
              <w:t>–</w:t>
            </w:r>
            <w:r w:rsidRPr="00E862B3">
              <w:rPr>
                <w:rFonts w:eastAsia="Times New Roman"/>
                <w:sz w:val="20"/>
                <w:szCs w:val="20"/>
              </w:rPr>
              <w:t>$299,999</w:t>
            </w:r>
          </w:p>
        </w:tc>
        <w:tc>
          <w:tcPr>
            <w:tcW w:w="1235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631E9DB4" w14:textId="340DA981" w:rsidR="00F25678" w:rsidRPr="00E862B3" w:rsidRDefault="00F25678" w:rsidP="00EB634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E862B3">
              <w:rPr>
                <w:rFonts w:eastAsia="Times New Roman"/>
                <w:sz w:val="20"/>
                <w:szCs w:val="20"/>
              </w:rPr>
              <w:t>$300K</w:t>
            </w:r>
            <w:r w:rsidRPr="00E862B3">
              <w:rPr>
                <w:rFonts w:ascii="Verdana" w:eastAsia="Times New Roman" w:hAnsi="Verdana"/>
                <w:sz w:val="20"/>
                <w:szCs w:val="20"/>
              </w:rPr>
              <w:t>–</w:t>
            </w:r>
            <w:r w:rsidRPr="00E862B3">
              <w:rPr>
                <w:rFonts w:eastAsia="Times New Roman"/>
                <w:sz w:val="20"/>
                <w:szCs w:val="20"/>
              </w:rPr>
              <w:t>$399,999</w:t>
            </w:r>
          </w:p>
        </w:tc>
        <w:tc>
          <w:tcPr>
            <w:tcW w:w="1234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5BD5F6D3" w14:textId="0E590A9F" w:rsidR="00F25678" w:rsidRPr="00E862B3" w:rsidRDefault="00F25678" w:rsidP="00EB634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E862B3">
              <w:rPr>
                <w:rFonts w:eastAsia="Times New Roman"/>
                <w:sz w:val="20"/>
                <w:szCs w:val="20"/>
              </w:rPr>
              <w:t>$400K</w:t>
            </w:r>
            <w:r w:rsidRPr="00E862B3">
              <w:rPr>
                <w:rFonts w:ascii="Verdana" w:eastAsia="Times New Roman" w:hAnsi="Verdana"/>
                <w:sz w:val="20"/>
                <w:szCs w:val="20"/>
              </w:rPr>
              <w:t>–</w:t>
            </w:r>
            <w:r w:rsidRPr="00E862B3">
              <w:rPr>
                <w:rFonts w:eastAsia="Times New Roman"/>
                <w:sz w:val="20"/>
                <w:szCs w:val="20"/>
              </w:rPr>
              <w:t>$499,999</w:t>
            </w:r>
          </w:p>
        </w:tc>
        <w:tc>
          <w:tcPr>
            <w:tcW w:w="1234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4ACF8736" w14:textId="0AA686B3" w:rsidR="00F25678" w:rsidRPr="00E862B3" w:rsidRDefault="00F25678" w:rsidP="00EB634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E862B3">
              <w:rPr>
                <w:rFonts w:eastAsia="Times New Roman"/>
                <w:sz w:val="20"/>
                <w:szCs w:val="20"/>
              </w:rPr>
              <w:t>$500K</w:t>
            </w:r>
            <w:r w:rsidRPr="00E862B3">
              <w:rPr>
                <w:rFonts w:ascii="Verdana" w:eastAsia="Times New Roman" w:hAnsi="Verdana"/>
                <w:sz w:val="20"/>
                <w:szCs w:val="20"/>
              </w:rPr>
              <w:t>–</w:t>
            </w:r>
            <w:r w:rsidRPr="00E862B3">
              <w:rPr>
                <w:rFonts w:eastAsia="Times New Roman"/>
                <w:sz w:val="20"/>
                <w:szCs w:val="20"/>
              </w:rPr>
              <w:t>$749,999</w:t>
            </w:r>
          </w:p>
        </w:tc>
        <w:tc>
          <w:tcPr>
            <w:tcW w:w="1235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6C7A4972" w14:textId="2C90B839" w:rsidR="00F25678" w:rsidRPr="00E862B3" w:rsidRDefault="00F25678" w:rsidP="00EB634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E862B3">
              <w:rPr>
                <w:rFonts w:eastAsia="Times New Roman"/>
                <w:sz w:val="20"/>
                <w:szCs w:val="20"/>
              </w:rPr>
              <w:t>$750K and More</w:t>
            </w:r>
          </w:p>
        </w:tc>
        <w:tc>
          <w:tcPr>
            <w:tcW w:w="1235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05B801DF" w14:textId="46812EB8" w:rsidR="00F25678" w:rsidRPr="00E862B3" w:rsidRDefault="00F25678" w:rsidP="00EB634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E862B3">
              <w:rPr>
                <w:rFonts w:eastAsia="Times New Roman"/>
                <w:sz w:val="20"/>
                <w:szCs w:val="20"/>
              </w:rPr>
              <w:t>Total</w:t>
            </w:r>
          </w:p>
        </w:tc>
      </w:tr>
      <w:tr w:rsidR="00F25678" w:rsidRPr="00E862B3" w14:paraId="4732F506" w14:textId="77777777" w:rsidTr="00E862B3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170" w:type="dxa"/>
            <w:tcBorders>
              <w:top w:val="single" w:sz="18" w:space="0" w:color="000000"/>
              <w:left w:val="single" w:sz="12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6EF2E93" w14:textId="37DF183F" w:rsidR="00F25678" w:rsidRPr="00E862B3" w:rsidRDefault="00F25678" w:rsidP="008D2FA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E862B3">
              <w:rPr>
                <w:rFonts w:eastAsia="Times New Roman"/>
                <w:sz w:val="20"/>
                <w:szCs w:val="20"/>
              </w:rPr>
              <w:t>January</w:t>
            </w:r>
          </w:p>
        </w:tc>
        <w:tc>
          <w:tcPr>
            <w:tcW w:w="123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DAA4BC" w14:textId="5A4AC589" w:rsidR="00F25678" w:rsidRPr="00E862B3" w:rsidRDefault="00F25678" w:rsidP="00EB6340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 w:rsidRPr="00E862B3">
              <w:rPr>
                <w:rFonts w:eastAsia="Times New Roman"/>
                <w:sz w:val="20"/>
                <w:szCs w:val="20"/>
              </w:rPr>
              <w:t>1,000</w:t>
            </w:r>
          </w:p>
        </w:tc>
        <w:tc>
          <w:tcPr>
            <w:tcW w:w="1234" w:type="dxa"/>
            <w:tcBorders>
              <w:top w:val="single" w:sz="1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EEE5FEA" w14:textId="31350563" w:rsidR="00F25678" w:rsidRPr="00E862B3" w:rsidRDefault="00F25678" w:rsidP="00EB6340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 w:rsidRPr="00E862B3">
              <w:rPr>
                <w:rFonts w:eastAsia="Times New Roman"/>
                <w:sz w:val="20"/>
                <w:szCs w:val="20"/>
              </w:rPr>
              <w:t>3,000</w:t>
            </w:r>
          </w:p>
        </w:tc>
        <w:tc>
          <w:tcPr>
            <w:tcW w:w="1234" w:type="dxa"/>
            <w:tcBorders>
              <w:top w:val="single" w:sz="1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79E286DF" w14:textId="1C5377A5" w:rsidR="00F25678" w:rsidRPr="00E862B3" w:rsidRDefault="00F25678" w:rsidP="00EB6340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 w:rsidRPr="00E862B3">
              <w:rPr>
                <w:rFonts w:eastAsia="Times New Roman"/>
                <w:sz w:val="20"/>
                <w:szCs w:val="20"/>
              </w:rPr>
              <w:t>19,000</w:t>
            </w:r>
          </w:p>
        </w:tc>
        <w:tc>
          <w:tcPr>
            <w:tcW w:w="1235" w:type="dxa"/>
            <w:tcBorders>
              <w:top w:val="single" w:sz="1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71D1951A" w14:textId="5849849A" w:rsidR="00F25678" w:rsidRPr="00E862B3" w:rsidRDefault="00F25678" w:rsidP="00EB6340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 w:rsidRPr="00E862B3">
              <w:rPr>
                <w:rFonts w:eastAsia="Times New Roman"/>
                <w:sz w:val="20"/>
                <w:szCs w:val="20"/>
              </w:rPr>
              <w:t>12,000</w:t>
            </w:r>
          </w:p>
        </w:tc>
        <w:tc>
          <w:tcPr>
            <w:tcW w:w="1234" w:type="dxa"/>
            <w:tcBorders>
              <w:top w:val="single" w:sz="1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24E5371" w14:textId="3717577F" w:rsidR="00F25678" w:rsidRPr="00E862B3" w:rsidRDefault="00F25678" w:rsidP="00EB6340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 w:rsidRPr="00E862B3">
              <w:rPr>
                <w:rFonts w:eastAsia="Times New Roman"/>
                <w:sz w:val="20"/>
                <w:szCs w:val="20"/>
              </w:rPr>
              <w:t>6,000</w:t>
            </w:r>
          </w:p>
        </w:tc>
        <w:tc>
          <w:tcPr>
            <w:tcW w:w="1234" w:type="dxa"/>
            <w:tcBorders>
              <w:top w:val="single" w:sz="1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C384DDD" w14:textId="308490AB" w:rsidR="00F25678" w:rsidRPr="00E862B3" w:rsidRDefault="00F25678" w:rsidP="00EB6340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 w:rsidRPr="00E862B3">
              <w:rPr>
                <w:rFonts w:eastAsia="Times New Roman"/>
                <w:sz w:val="20"/>
                <w:szCs w:val="20"/>
              </w:rPr>
              <w:t>5,000</w:t>
            </w:r>
          </w:p>
        </w:tc>
        <w:tc>
          <w:tcPr>
            <w:tcW w:w="1235" w:type="dxa"/>
            <w:tcBorders>
              <w:top w:val="single" w:sz="1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252C82F" w14:textId="084F4F9A" w:rsidR="00F25678" w:rsidRPr="00E862B3" w:rsidRDefault="00F25678" w:rsidP="00EB6340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 w:rsidRPr="00E862B3">
              <w:rPr>
                <w:rFonts w:eastAsia="Times New Roman"/>
                <w:sz w:val="20"/>
                <w:szCs w:val="20"/>
              </w:rPr>
              <w:t>2,000</w:t>
            </w:r>
          </w:p>
        </w:tc>
        <w:tc>
          <w:tcPr>
            <w:tcW w:w="1235" w:type="dxa"/>
            <w:tcBorders>
              <w:top w:val="single" w:sz="18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25D0FC7" w14:textId="683C97E8" w:rsidR="00F25678" w:rsidRPr="00E862B3" w:rsidRDefault="00F25678" w:rsidP="00EB6340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 w:rsidRPr="00E862B3">
              <w:rPr>
                <w:rFonts w:eastAsia="Times New Roman"/>
                <w:sz w:val="20"/>
                <w:szCs w:val="20"/>
              </w:rPr>
              <w:t>49,000</w:t>
            </w:r>
          </w:p>
        </w:tc>
      </w:tr>
      <w:tr w:rsidR="00F25678" w:rsidRPr="00E862B3" w14:paraId="2D1B220B" w14:textId="77777777" w:rsidTr="00E862B3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8EEB5B6" w14:textId="19A51A46" w:rsidR="00F25678" w:rsidRPr="00E862B3" w:rsidRDefault="00F25678" w:rsidP="008D2FA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E862B3">
              <w:rPr>
                <w:rFonts w:eastAsia="Times New Roman"/>
                <w:sz w:val="20"/>
                <w:szCs w:val="20"/>
              </w:rPr>
              <w:t>February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8BDB905" w14:textId="13BC7E4A" w:rsidR="00F25678" w:rsidRPr="00E862B3" w:rsidRDefault="00F25678" w:rsidP="00EB6340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 w:rsidRPr="00E862B3">
              <w:rPr>
                <w:rFonts w:eastAsia="Times New Roman"/>
                <w:sz w:val="20"/>
                <w:szCs w:val="20"/>
              </w:rPr>
              <w:t>1,000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16FCD9C" w14:textId="716917E7" w:rsidR="00F25678" w:rsidRPr="00E862B3" w:rsidRDefault="00F25678" w:rsidP="00EB6340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 w:rsidRPr="00E862B3">
              <w:rPr>
                <w:rFonts w:eastAsia="Times New Roman"/>
                <w:sz w:val="20"/>
                <w:szCs w:val="20"/>
              </w:rPr>
              <w:t>4,000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292F9684" w14:textId="19C38EB0" w:rsidR="00F25678" w:rsidRPr="00E862B3" w:rsidRDefault="00F25678" w:rsidP="00EB6340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 w:rsidRPr="00E862B3">
              <w:rPr>
                <w:rFonts w:eastAsia="Times New Roman"/>
                <w:sz w:val="20"/>
                <w:szCs w:val="20"/>
              </w:rPr>
              <w:t>19,000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35C4A0D4" w14:textId="3CB19F6A" w:rsidR="00F25678" w:rsidRPr="00E862B3" w:rsidRDefault="00F25678" w:rsidP="00EB6340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 w:rsidRPr="00E862B3">
              <w:rPr>
                <w:rFonts w:eastAsia="Times New Roman"/>
                <w:sz w:val="20"/>
                <w:szCs w:val="20"/>
              </w:rPr>
              <w:t>15,000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0D88B1B" w14:textId="4E8F87AB" w:rsidR="00F25678" w:rsidRPr="00E862B3" w:rsidRDefault="00F25678" w:rsidP="00EB6340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 w:rsidRPr="00E862B3">
              <w:rPr>
                <w:rFonts w:eastAsia="Times New Roman"/>
                <w:sz w:val="20"/>
                <w:szCs w:val="20"/>
              </w:rPr>
              <w:t>8,000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8717802" w14:textId="11315E7E" w:rsidR="00F25678" w:rsidRPr="00E862B3" w:rsidRDefault="00F25678" w:rsidP="00EB6340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 w:rsidRPr="00E862B3">
              <w:rPr>
                <w:rFonts w:eastAsia="Times New Roman"/>
                <w:sz w:val="20"/>
                <w:szCs w:val="20"/>
              </w:rPr>
              <w:t>8,000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DF15E4A" w14:textId="4534682E" w:rsidR="00F25678" w:rsidRPr="00E862B3" w:rsidRDefault="00F25678" w:rsidP="00EB6340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 w:rsidRPr="00E862B3">
              <w:rPr>
                <w:rFonts w:eastAsia="Times New Roman"/>
                <w:sz w:val="20"/>
                <w:szCs w:val="20"/>
              </w:rPr>
              <w:t>2,000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1AE0C50" w14:textId="4AC2673C" w:rsidR="00F25678" w:rsidRPr="00E862B3" w:rsidRDefault="00F25678" w:rsidP="00EB6340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 w:rsidRPr="00E862B3">
              <w:rPr>
                <w:rFonts w:eastAsia="Times New Roman"/>
                <w:sz w:val="20"/>
                <w:szCs w:val="20"/>
              </w:rPr>
              <w:t>57,000</w:t>
            </w:r>
          </w:p>
        </w:tc>
      </w:tr>
      <w:tr w:rsidR="00F25678" w:rsidRPr="00E862B3" w14:paraId="059CCE0E" w14:textId="77777777" w:rsidTr="00E862B3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4F5D6B1" w14:textId="7CC74894" w:rsidR="00F25678" w:rsidRPr="00E862B3" w:rsidRDefault="00F25678" w:rsidP="008D2FA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E862B3">
              <w:rPr>
                <w:rFonts w:eastAsia="Times New Roman"/>
                <w:sz w:val="20"/>
                <w:szCs w:val="20"/>
              </w:rPr>
              <w:t>March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639FDD8" w14:textId="43D0CD23" w:rsidR="00F25678" w:rsidRPr="00E862B3" w:rsidRDefault="00F25678" w:rsidP="00EB6340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 w:rsidRPr="00E862B3">
              <w:rPr>
                <w:rFonts w:eastAsia="Times New Roman"/>
                <w:sz w:val="20"/>
                <w:szCs w:val="20"/>
              </w:rPr>
              <w:t>2,000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9CC347D" w14:textId="6A916A8C" w:rsidR="00F25678" w:rsidRPr="00E862B3" w:rsidRDefault="00F25678" w:rsidP="00EB6340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 w:rsidRPr="00E862B3">
              <w:rPr>
                <w:rFonts w:eastAsia="Times New Roman"/>
                <w:sz w:val="20"/>
                <w:szCs w:val="20"/>
              </w:rPr>
              <w:t>6,000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0A068444" w14:textId="6859E93A" w:rsidR="00F25678" w:rsidRPr="00E862B3" w:rsidRDefault="00F25678" w:rsidP="00EB6340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 w:rsidRPr="00E862B3">
              <w:rPr>
                <w:rFonts w:eastAsia="Times New Roman"/>
                <w:sz w:val="20"/>
                <w:szCs w:val="20"/>
              </w:rPr>
              <w:t>23,000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5A479584" w14:textId="1C24A494" w:rsidR="00F25678" w:rsidRPr="00E862B3" w:rsidRDefault="00F25678" w:rsidP="00EB6340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 w:rsidRPr="00E862B3">
              <w:rPr>
                <w:rFonts w:eastAsia="Times New Roman"/>
                <w:sz w:val="20"/>
                <w:szCs w:val="20"/>
              </w:rPr>
              <w:t>16,000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C19C8F3" w14:textId="290812DE" w:rsidR="00F25678" w:rsidRPr="00E862B3" w:rsidRDefault="00F25678" w:rsidP="00EB6340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 w:rsidRPr="00E862B3">
              <w:rPr>
                <w:rFonts w:eastAsia="Times New Roman"/>
                <w:sz w:val="20"/>
                <w:szCs w:val="20"/>
              </w:rPr>
              <w:t>11,000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DA4BBBB" w14:textId="74E537F3" w:rsidR="00F25678" w:rsidRPr="00E862B3" w:rsidRDefault="00F25678" w:rsidP="00EB6340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 w:rsidRPr="00E862B3">
              <w:rPr>
                <w:rFonts w:eastAsia="Times New Roman"/>
                <w:sz w:val="20"/>
                <w:szCs w:val="20"/>
              </w:rPr>
              <w:t>8,000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B37BCC8" w14:textId="488F8754" w:rsidR="00F25678" w:rsidRPr="00E862B3" w:rsidRDefault="00F25678" w:rsidP="00EB6340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 w:rsidRPr="00E862B3">
              <w:rPr>
                <w:rFonts w:eastAsia="Times New Roman"/>
                <w:sz w:val="20"/>
                <w:szCs w:val="20"/>
              </w:rPr>
              <w:t>3,000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70CEAE9" w14:textId="604535FD" w:rsidR="00F25678" w:rsidRPr="00E862B3" w:rsidRDefault="00F25678" w:rsidP="00EB6340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 w:rsidRPr="00E862B3">
              <w:rPr>
                <w:rFonts w:eastAsia="Times New Roman"/>
                <w:sz w:val="20"/>
                <w:szCs w:val="20"/>
              </w:rPr>
              <w:t>68,000</w:t>
            </w:r>
          </w:p>
        </w:tc>
      </w:tr>
      <w:tr w:rsidR="00F25678" w:rsidRPr="00E862B3" w14:paraId="1F54D683" w14:textId="77777777" w:rsidTr="00E862B3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B99A7A8" w14:textId="52647B0D" w:rsidR="00F25678" w:rsidRPr="00E862B3" w:rsidRDefault="00F25678" w:rsidP="008D2FA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E862B3">
              <w:rPr>
                <w:rFonts w:eastAsia="Times New Roman"/>
                <w:sz w:val="20"/>
                <w:szCs w:val="20"/>
              </w:rPr>
              <w:t>April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0C1B732" w14:textId="37CAAC46" w:rsidR="00F25678" w:rsidRPr="00E862B3" w:rsidRDefault="00F25678" w:rsidP="00EB6340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 w:rsidRPr="00E862B3">
              <w:rPr>
                <w:rFonts w:eastAsia="Times New Roman"/>
                <w:sz w:val="20"/>
                <w:szCs w:val="20"/>
              </w:rPr>
              <w:t>1,000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29DA0A7" w14:textId="7C88E2E0" w:rsidR="00F25678" w:rsidRPr="00E862B3" w:rsidRDefault="00F25678" w:rsidP="00EB6340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 w:rsidRPr="00E862B3">
              <w:rPr>
                <w:rFonts w:eastAsia="Times New Roman"/>
                <w:sz w:val="20"/>
                <w:szCs w:val="20"/>
              </w:rPr>
              <w:t>4,000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1428F5F2" w14:textId="7AE334E1" w:rsidR="00F25678" w:rsidRPr="00E862B3" w:rsidRDefault="00F25678" w:rsidP="00EB6340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 w:rsidRPr="00E862B3">
              <w:rPr>
                <w:rFonts w:eastAsia="Times New Roman"/>
                <w:sz w:val="20"/>
                <w:szCs w:val="20"/>
              </w:rPr>
              <w:t>18,000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353D4A9E" w14:textId="5F180EB1" w:rsidR="00F25678" w:rsidRPr="00E862B3" w:rsidRDefault="00F25678" w:rsidP="00EB6340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 w:rsidRPr="00E862B3">
              <w:rPr>
                <w:rFonts w:eastAsia="Times New Roman"/>
                <w:sz w:val="20"/>
                <w:szCs w:val="20"/>
              </w:rPr>
              <w:t>18,000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E8A5A56" w14:textId="672E3EE3" w:rsidR="00F25678" w:rsidRPr="00E862B3" w:rsidRDefault="00F25678" w:rsidP="00EB6340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 w:rsidRPr="00E862B3">
              <w:rPr>
                <w:rFonts w:eastAsia="Times New Roman"/>
                <w:sz w:val="20"/>
                <w:szCs w:val="20"/>
              </w:rPr>
              <w:t>10,000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599FB8C" w14:textId="4728EE43" w:rsidR="00F25678" w:rsidRPr="00E862B3" w:rsidRDefault="00F25678" w:rsidP="00EB6340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 w:rsidRPr="00E862B3">
              <w:rPr>
                <w:rFonts w:eastAsia="Times New Roman"/>
                <w:sz w:val="20"/>
                <w:szCs w:val="20"/>
              </w:rPr>
              <w:t>9,000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9B70A5C" w14:textId="114DD577" w:rsidR="00F25678" w:rsidRPr="00E862B3" w:rsidRDefault="00F25678" w:rsidP="00EB6340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 w:rsidRPr="00E862B3">
              <w:rPr>
                <w:rFonts w:eastAsia="Times New Roman"/>
                <w:sz w:val="20"/>
                <w:szCs w:val="20"/>
              </w:rPr>
              <w:t>3,000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2700AA4" w14:textId="6474A1FF" w:rsidR="00F25678" w:rsidRPr="00E862B3" w:rsidRDefault="00F25678" w:rsidP="00EB6340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 w:rsidRPr="00E862B3">
              <w:rPr>
                <w:rFonts w:eastAsia="Times New Roman"/>
                <w:sz w:val="20"/>
                <w:szCs w:val="20"/>
              </w:rPr>
              <w:t>64,000</w:t>
            </w:r>
          </w:p>
        </w:tc>
      </w:tr>
      <w:tr w:rsidR="00F25678" w:rsidRPr="00E862B3" w14:paraId="6911AAAA" w14:textId="77777777" w:rsidTr="00E862B3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4B61FC5" w14:textId="114BF020" w:rsidR="00F25678" w:rsidRPr="00E862B3" w:rsidRDefault="00F25678" w:rsidP="008D2FA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E862B3">
              <w:rPr>
                <w:rFonts w:eastAsia="Times New Roman"/>
                <w:sz w:val="20"/>
                <w:szCs w:val="20"/>
              </w:rPr>
              <w:t>May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9ED95EE" w14:textId="56F3E28B" w:rsidR="00F25678" w:rsidRPr="00E862B3" w:rsidRDefault="00F25678" w:rsidP="00EB6340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 w:rsidRPr="00E862B3">
              <w:rPr>
                <w:rFonts w:eastAsia="Times New Roman"/>
                <w:sz w:val="20"/>
                <w:szCs w:val="20"/>
              </w:rPr>
              <w:t>1,000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A9DA6FD" w14:textId="5A488F48" w:rsidR="00F25678" w:rsidRPr="00E862B3" w:rsidRDefault="00F25678" w:rsidP="00EB6340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 w:rsidRPr="00E862B3">
              <w:rPr>
                <w:rFonts w:eastAsia="Times New Roman"/>
                <w:sz w:val="20"/>
                <w:szCs w:val="20"/>
              </w:rPr>
              <w:t>4,000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2D1BF9BC" w14:textId="6C18C619" w:rsidR="00F25678" w:rsidRPr="00E862B3" w:rsidRDefault="00F25678" w:rsidP="00EB6340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 w:rsidRPr="00E862B3">
              <w:rPr>
                <w:rFonts w:eastAsia="Times New Roman"/>
                <w:sz w:val="20"/>
                <w:szCs w:val="20"/>
              </w:rPr>
              <w:t>21,000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226EA5A4" w14:textId="08AEE94E" w:rsidR="00F25678" w:rsidRPr="00E862B3" w:rsidRDefault="00F25678" w:rsidP="00EB6340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 w:rsidRPr="00E862B3">
              <w:rPr>
                <w:rFonts w:eastAsia="Times New Roman"/>
                <w:sz w:val="20"/>
                <w:szCs w:val="20"/>
              </w:rPr>
              <w:t>13,000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9A174C7" w14:textId="11AA34FF" w:rsidR="00F25678" w:rsidRPr="00E862B3" w:rsidRDefault="00F25678" w:rsidP="00EB6340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 w:rsidRPr="00E862B3">
              <w:rPr>
                <w:rFonts w:eastAsia="Times New Roman"/>
                <w:sz w:val="20"/>
                <w:szCs w:val="20"/>
              </w:rPr>
              <w:t>8,000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52A3B30" w14:textId="4601991B" w:rsidR="00F25678" w:rsidRPr="00E862B3" w:rsidRDefault="00F25678" w:rsidP="00EB6340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 w:rsidRPr="00E862B3">
              <w:rPr>
                <w:rFonts w:eastAsia="Times New Roman"/>
                <w:sz w:val="20"/>
                <w:szCs w:val="20"/>
              </w:rPr>
              <w:t>8,000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D34F95F" w14:textId="0B9DB93E" w:rsidR="00F25678" w:rsidRPr="00E862B3" w:rsidRDefault="00F25678" w:rsidP="00EB6340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 w:rsidRPr="00E862B3">
              <w:rPr>
                <w:rFonts w:eastAsia="Times New Roman"/>
                <w:sz w:val="20"/>
                <w:szCs w:val="20"/>
              </w:rPr>
              <w:t>3,000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5487DDF" w14:textId="59412FED" w:rsidR="00F25678" w:rsidRPr="00E862B3" w:rsidRDefault="00F25678" w:rsidP="00EB6340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 w:rsidRPr="00E862B3">
              <w:rPr>
                <w:rFonts w:eastAsia="Times New Roman"/>
                <w:sz w:val="20"/>
                <w:szCs w:val="20"/>
              </w:rPr>
              <w:t>58,000</w:t>
            </w:r>
          </w:p>
        </w:tc>
      </w:tr>
      <w:tr w:rsidR="00F25678" w:rsidRPr="00E862B3" w14:paraId="63CDD049" w14:textId="77777777" w:rsidTr="00E862B3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5CD2B5D" w14:textId="72393A68" w:rsidR="00F25678" w:rsidRPr="00E862B3" w:rsidRDefault="00F25678" w:rsidP="008D2FA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E862B3">
              <w:rPr>
                <w:rFonts w:eastAsia="Times New Roman"/>
                <w:sz w:val="20"/>
                <w:szCs w:val="20"/>
              </w:rPr>
              <w:t>June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1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0B056AA7" w14:textId="0DA41465" w:rsidR="00F25678" w:rsidRPr="00E862B3" w:rsidRDefault="00F25678" w:rsidP="00EB6340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 w:rsidRPr="00E862B3">
              <w:rPr>
                <w:rFonts w:eastAsia="Times New Roman"/>
                <w:sz w:val="20"/>
                <w:szCs w:val="20"/>
              </w:rPr>
              <w:t>1,000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69D9304E" w14:textId="4679E15D" w:rsidR="00F25678" w:rsidRPr="00E862B3" w:rsidRDefault="00F25678" w:rsidP="00EB6340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 w:rsidRPr="00E862B3">
              <w:rPr>
                <w:rFonts w:eastAsia="Times New Roman"/>
                <w:sz w:val="20"/>
                <w:szCs w:val="20"/>
              </w:rPr>
              <w:t>6,000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4C1EFD8C" w14:textId="5AFA28D1" w:rsidR="00F25678" w:rsidRPr="00E862B3" w:rsidRDefault="00F25678" w:rsidP="00EB6340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 w:rsidRPr="00E862B3">
              <w:rPr>
                <w:rFonts w:eastAsia="Times New Roman"/>
                <w:sz w:val="20"/>
                <w:szCs w:val="20"/>
              </w:rPr>
              <w:t>24,000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56F63EAD" w14:textId="6459DD25" w:rsidR="00F25678" w:rsidRPr="00E862B3" w:rsidRDefault="00F25678" w:rsidP="00EB6340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 w:rsidRPr="00E862B3">
              <w:rPr>
                <w:rFonts w:eastAsia="Times New Roman"/>
                <w:sz w:val="20"/>
                <w:szCs w:val="20"/>
              </w:rPr>
              <w:t>18,000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4BB96E96" w14:textId="4D69C113" w:rsidR="00F25678" w:rsidRPr="00E862B3" w:rsidRDefault="00F25678" w:rsidP="00EB6340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 w:rsidRPr="00E862B3">
              <w:rPr>
                <w:rFonts w:eastAsia="Times New Roman"/>
                <w:sz w:val="20"/>
                <w:szCs w:val="20"/>
              </w:rPr>
              <w:t>8,000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237526A7" w14:textId="0A6522E1" w:rsidR="00F25678" w:rsidRPr="00E862B3" w:rsidRDefault="00F25678" w:rsidP="00EB6340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 w:rsidRPr="00E862B3">
              <w:rPr>
                <w:rFonts w:eastAsia="Times New Roman"/>
                <w:sz w:val="20"/>
                <w:szCs w:val="20"/>
              </w:rPr>
              <w:t>5,000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59AD785C" w14:textId="614DC76B" w:rsidR="00F25678" w:rsidRPr="00E862B3" w:rsidRDefault="00F25678" w:rsidP="00EB6340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 w:rsidRPr="00E862B3">
              <w:rPr>
                <w:rFonts w:eastAsia="Times New Roman"/>
                <w:sz w:val="20"/>
                <w:szCs w:val="20"/>
              </w:rPr>
              <w:t>3,000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BF1BC33" w14:textId="728EF565" w:rsidR="00F25678" w:rsidRPr="00E862B3" w:rsidRDefault="00F25678" w:rsidP="00EB6340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 w:rsidRPr="00E862B3">
              <w:rPr>
                <w:rFonts w:eastAsia="Times New Roman"/>
                <w:sz w:val="20"/>
                <w:szCs w:val="20"/>
              </w:rPr>
              <w:t>66,000</w:t>
            </w:r>
          </w:p>
        </w:tc>
      </w:tr>
    </w:tbl>
    <w:p w14:paraId="31EA7798" w14:textId="7059E762" w:rsidR="00702DB7" w:rsidRPr="00E862B3" w:rsidRDefault="00702DB7" w:rsidP="00E862B3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  <w:r w:rsidRPr="00E862B3">
        <w:rPr>
          <w:sz w:val="16"/>
          <w:szCs w:val="16"/>
        </w:rPr>
        <w:t xml:space="preserve">US Census Bureau, </w:t>
      </w:r>
      <w:r w:rsidR="00F25678" w:rsidRPr="00E862B3">
        <w:rPr>
          <w:sz w:val="16"/>
          <w:szCs w:val="16"/>
        </w:rPr>
        <w:t>August</w:t>
      </w:r>
      <w:r w:rsidRPr="00E862B3">
        <w:rPr>
          <w:sz w:val="16"/>
          <w:szCs w:val="16"/>
        </w:rPr>
        <w:t xml:space="preserve"> 201</w:t>
      </w:r>
      <w:r w:rsidR="00F25678" w:rsidRPr="00E862B3">
        <w:rPr>
          <w:sz w:val="16"/>
          <w:szCs w:val="16"/>
        </w:rPr>
        <w:t>9</w:t>
      </w:r>
      <w:r w:rsidRPr="00E862B3">
        <w:rPr>
          <w:sz w:val="16"/>
          <w:szCs w:val="16"/>
        </w:rPr>
        <w:tab/>
      </w:r>
    </w:p>
    <w:p w14:paraId="5269392F" w14:textId="77777777" w:rsidR="00702DB7" w:rsidRPr="00E862B3" w:rsidRDefault="00702DB7" w:rsidP="00AB1210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6ED95CFC" w14:textId="77777777" w:rsidR="00702DB7" w:rsidRPr="00E862B3" w:rsidRDefault="00702DB7" w:rsidP="00F25678">
      <w:pPr>
        <w:spacing w:after="0" w:line="240" w:lineRule="auto"/>
        <w:contextualSpacing/>
        <w:mirrorIndents/>
        <w:jc w:val="center"/>
        <w:rPr>
          <w:rFonts w:ascii="Verdana" w:hAnsi="Verdana"/>
          <w:b/>
          <w:color w:val="0070C0"/>
          <w:sz w:val="20"/>
          <w:szCs w:val="20"/>
        </w:rPr>
      </w:pPr>
      <w:bookmarkStart w:id="0" w:name="_GoBack"/>
      <w:bookmarkEnd w:id="0"/>
      <w:r w:rsidRPr="00E862B3">
        <w:rPr>
          <w:rFonts w:ascii="Verdana" w:hAnsi="Verdana"/>
          <w:b/>
          <w:color w:val="0070C0"/>
          <w:sz w:val="20"/>
          <w:szCs w:val="20"/>
        </w:rPr>
        <w:t>Deals Drive Consumers to Purchase Furniture</w:t>
      </w:r>
    </w:p>
    <w:p w14:paraId="43B7FC32" w14:textId="77777777" w:rsidR="00702DB7" w:rsidRPr="00E862B3" w:rsidRDefault="00702DB7" w:rsidP="00AB1210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78A34752" w14:textId="48D5772D" w:rsidR="00702DB7" w:rsidRPr="00E862B3" w:rsidRDefault="00467285" w:rsidP="00467285">
      <w:pPr>
        <w:pStyle w:val="ListParagraph"/>
        <w:numPr>
          <w:ilvl w:val="0"/>
          <w:numId w:val="5"/>
        </w:numPr>
        <w:spacing w:after="0" w:line="240" w:lineRule="auto"/>
        <w:mirrorIndents/>
        <w:rPr>
          <w:rFonts w:ascii="Verdana" w:hAnsi="Verdana"/>
          <w:sz w:val="20"/>
          <w:szCs w:val="20"/>
        </w:rPr>
      </w:pPr>
      <w:r w:rsidRPr="00E862B3">
        <w:rPr>
          <w:rFonts w:ascii="Verdana" w:hAnsi="Verdana"/>
          <w:sz w:val="20"/>
          <w:szCs w:val="20"/>
        </w:rPr>
        <w:t>Every furniture retailer is eager for any insights about how to attract more furniture buyers</w:t>
      </w:r>
      <w:r w:rsidR="00EB6340" w:rsidRPr="00E862B3">
        <w:rPr>
          <w:rFonts w:ascii="Verdana" w:hAnsi="Verdana"/>
          <w:sz w:val="20"/>
          <w:szCs w:val="20"/>
        </w:rPr>
        <w:t>,</w:t>
      </w:r>
      <w:r w:rsidRPr="00E862B3">
        <w:rPr>
          <w:rFonts w:ascii="Verdana" w:hAnsi="Verdana"/>
          <w:sz w:val="20"/>
          <w:szCs w:val="20"/>
        </w:rPr>
        <w:t xml:space="preserve"> and Valassis’ Awareness-to-Activation Study found offers, deals and promotions are what receive the serious attention of 91% of consumers.</w:t>
      </w:r>
    </w:p>
    <w:p w14:paraId="6B40842E" w14:textId="77777777" w:rsidR="00D34348" w:rsidRPr="00E862B3" w:rsidRDefault="00D34348" w:rsidP="00AB1210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34E80297" w14:textId="6D210B31" w:rsidR="00D34348" w:rsidRPr="00E862B3" w:rsidRDefault="00467285" w:rsidP="00467285">
      <w:pPr>
        <w:pStyle w:val="ListParagraph"/>
        <w:numPr>
          <w:ilvl w:val="0"/>
          <w:numId w:val="5"/>
        </w:numPr>
        <w:spacing w:after="0" w:line="240" w:lineRule="auto"/>
        <w:mirrorIndents/>
        <w:rPr>
          <w:rFonts w:ascii="Verdana" w:hAnsi="Verdana"/>
          <w:sz w:val="20"/>
          <w:szCs w:val="20"/>
        </w:rPr>
      </w:pPr>
      <w:r w:rsidRPr="00E862B3">
        <w:rPr>
          <w:rFonts w:ascii="Verdana" w:hAnsi="Verdana"/>
          <w:sz w:val="20"/>
          <w:szCs w:val="20"/>
        </w:rPr>
        <w:t>Not surprisingly, 59% researched their furniture purchasing online while 68% made their purchases in-store. More surprisingly, the combination of print and digital ads would motivate 61% of consumers to visit a new furniture store or buy online.</w:t>
      </w:r>
    </w:p>
    <w:p w14:paraId="0883339D" w14:textId="77777777" w:rsidR="00D34348" w:rsidRPr="00E862B3" w:rsidRDefault="00D34348" w:rsidP="00AB1210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36252C24" w14:textId="0C3DB610" w:rsidR="00D40CF5" w:rsidRPr="00E862B3" w:rsidRDefault="00D40CF5" w:rsidP="00D40CF5">
      <w:pPr>
        <w:pStyle w:val="ListParagraph"/>
        <w:numPr>
          <w:ilvl w:val="0"/>
          <w:numId w:val="5"/>
        </w:numPr>
        <w:spacing w:after="0" w:line="240" w:lineRule="auto"/>
        <w:mirrorIndents/>
        <w:rPr>
          <w:rFonts w:ascii="Verdana" w:hAnsi="Verdana"/>
          <w:sz w:val="20"/>
          <w:szCs w:val="20"/>
        </w:rPr>
      </w:pPr>
      <w:r w:rsidRPr="00E862B3">
        <w:rPr>
          <w:rFonts w:ascii="Verdana" w:hAnsi="Verdana"/>
          <w:sz w:val="20"/>
          <w:szCs w:val="20"/>
        </w:rPr>
        <w:t>Even larger percentages of Millennial parents, 96%, are drawn to furniture deals, and 52% said they would purchase furniture within the next year, which data from The Media Audit’s 2019 Aggregate Report supports.</w:t>
      </w:r>
    </w:p>
    <w:p w14:paraId="7013F5D2" w14:textId="27B7531C" w:rsidR="00D34348" w:rsidRPr="00E862B3" w:rsidRDefault="00D34348" w:rsidP="00AB1210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3BD335CE" w14:textId="77777777" w:rsidR="00D40CF5" w:rsidRPr="00E862B3" w:rsidRDefault="00D40CF5" w:rsidP="00D40CF5">
      <w:pPr>
        <w:pStyle w:val="Header"/>
        <w:contextualSpacing/>
        <w:jc w:val="center"/>
        <w:rPr>
          <w:rFonts w:ascii="Verdana" w:hAnsi="Verdana"/>
          <w:b/>
          <w:sz w:val="20"/>
          <w:szCs w:val="20"/>
        </w:rPr>
      </w:pPr>
      <w:r w:rsidRPr="00E862B3">
        <w:rPr>
          <w:b/>
          <w:sz w:val="20"/>
          <w:szCs w:val="20"/>
        </w:rPr>
        <w:t>“Stages in Life” of Adults 25</w:t>
      </w:r>
      <w:r w:rsidRPr="00E862B3">
        <w:rPr>
          <w:rFonts w:ascii="Verdana" w:hAnsi="Verdana"/>
          <w:b/>
          <w:sz w:val="20"/>
          <w:szCs w:val="20"/>
        </w:rPr>
        <w:t xml:space="preserve">–44 Who Plan to Buy </w:t>
      </w:r>
    </w:p>
    <w:p w14:paraId="6716D05B" w14:textId="22ABCF77" w:rsidR="00D40CF5" w:rsidRPr="00E862B3" w:rsidRDefault="00D40CF5" w:rsidP="00D40CF5">
      <w:pPr>
        <w:pStyle w:val="Header"/>
        <w:contextualSpacing/>
        <w:jc w:val="center"/>
        <w:rPr>
          <w:rFonts w:ascii="Verdana" w:hAnsi="Verdana"/>
          <w:b/>
          <w:sz w:val="20"/>
          <w:szCs w:val="20"/>
        </w:rPr>
      </w:pPr>
      <w:r w:rsidRPr="00E862B3">
        <w:rPr>
          <w:rFonts w:ascii="Verdana" w:hAnsi="Verdana"/>
          <w:b/>
          <w:sz w:val="20"/>
          <w:szCs w:val="20"/>
        </w:rPr>
        <w:t>New Furniture During the Next 12 Months</w:t>
      </w:r>
      <w:r w:rsidRPr="00E862B3">
        <w:rPr>
          <w:b/>
          <w:sz w:val="20"/>
          <w:szCs w:val="20"/>
        </w:rPr>
        <w:t>, 2019</w:t>
      </w:r>
    </w:p>
    <w:tbl>
      <w:tblPr>
        <w:tblW w:w="6315" w:type="dxa"/>
        <w:jc w:val="center"/>
        <w:tblBorders>
          <w:left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80"/>
        <w:gridCol w:w="1117"/>
        <w:gridCol w:w="1118"/>
      </w:tblGrid>
      <w:tr w:rsidR="00D40CF5" w:rsidRPr="00E862B3" w14:paraId="72D0A855" w14:textId="77777777" w:rsidTr="00D40CF5">
        <w:trPr>
          <w:jc w:val="center"/>
        </w:trPr>
        <w:tc>
          <w:tcPr>
            <w:tcW w:w="4080" w:type="dxa"/>
            <w:tcBorders>
              <w:top w:val="single" w:sz="12" w:space="0" w:color="auto"/>
              <w:left w:val="single" w:sz="12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5B1151FE" w14:textId="70B160DA" w:rsidR="00D40CF5" w:rsidRPr="00E862B3" w:rsidRDefault="00D40CF5" w:rsidP="00D40CF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E862B3">
              <w:rPr>
                <w:rFonts w:eastAsia="Times New Roman"/>
                <w:sz w:val="20"/>
                <w:szCs w:val="20"/>
              </w:rPr>
              <w:t>Stage in Life</w:t>
            </w:r>
          </w:p>
        </w:tc>
        <w:tc>
          <w:tcPr>
            <w:tcW w:w="1117" w:type="dxa"/>
            <w:tcBorders>
              <w:top w:val="single" w:sz="12" w:space="0" w:color="auto"/>
              <w:left w:val="single" w:sz="8" w:space="0" w:color="000000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837589" w14:textId="1587C212" w:rsidR="00D40CF5" w:rsidRPr="00E862B3" w:rsidRDefault="00D40CF5" w:rsidP="00D40CF5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E862B3">
              <w:rPr>
                <w:rFonts w:eastAsia="Times New Roman"/>
                <w:sz w:val="20"/>
                <w:szCs w:val="20"/>
              </w:rPr>
              <w:t>Percent</w:t>
            </w:r>
          </w:p>
        </w:tc>
        <w:tc>
          <w:tcPr>
            <w:tcW w:w="1118" w:type="dxa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40D0B3" w14:textId="5573A9D0" w:rsidR="00D40CF5" w:rsidRPr="00E862B3" w:rsidRDefault="00D40CF5" w:rsidP="00D40CF5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E862B3">
              <w:rPr>
                <w:rFonts w:eastAsia="Times New Roman"/>
                <w:sz w:val="20"/>
                <w:szCs w:val="20"/>
              </w:rPr>
              <w:t>Index</w:t>
            </w:r>
          </w:p>
        </w:tc>
      </w:tr>
      <w:tr w:rsidR="00D40CF5" w:rsidRPr="00E862B3" w14:paraId="7344E445" w14:textId="77777777" w:rsidTr="00D40CF5">
        <w:trPr>
          <w:jc w:val="center"/>
        </w:trPr>
        <w:tc>
          <w:tcPr>
            <w:tcW w:w="4080" w:type="dxa"/>
            <w:tcBorders>
              <w:top w:val="single" w:sz="18" w:space="0" w:color="auto"/>
              <w:left w:val="single" w:sz="12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9D6C29C" w14:textId="26B87D50" w:rsidR="00D40CF5" w:rsidRPr="00E862B3" w:rsidRDefault="00D40CF5" w:rsidP="008D2FA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E862B3">
              <w:rPr>
                <w:rFonts w:eastAsia="Times New Roman"/>
                <w:sz w:val="20"/>
                <w:szCs w:val="20"/>
              </w:rPr>
              <w:t>Single, younger than 35, no children</w:t>
            </w:r>
          </w:p>
        </w:tc>
        <w:tc>
          <w:tcPr>
            <w:tcW w:w="1117" w:type="dxa"/>
            <w:tcBorders>
              <w:top w:val="single" w:sz="18" w:space="0" w:color="auto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EF4ACB8" w14:textId="54F127FA" w:rsidR="00D40CF5" w:rsidRPr="00E862B3" w:rsidRDefault="00D40CF5" w:rsidP="008D2FA3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-34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 w:rsidRPr="00E862B3">
              <w:rPr>
                <w:rFonts w:eastAsia="Times New Roman"/>
                <w:sz w:val="20"/>
                <w:szCs w:val="20"/>
              </w:rPr>
              <w:t>12.9%</w:t>
            </w:r>
          </w:p>
        </w:tc>
        <w:tc>
          <w:tcPr>
            <w:tcW w:w="1118" w:type="dxa"/>
            <w:tcBorders>
              <w:top w:val="single" w:sz="18" w:space="0" w:color="auto"/>
              <w:left w:val="single" w:sz="8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1B92E4B7" w14:textId="4C3E4839" w:rsidR="00D40CF5" w:rsidRPr="00E862B3" w:rsidRDefault="00D40CF5" w:rsidP="008D2FA3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 w:rsidRPr="00E862B3">
              <w:rPr>
                <w:rFonts w:eastAsia="Times New Roman"/>
                <w:sz w:val="20"/>
                <w:szCs w:val="20"/>
              </w:rPr>
              <w:t>80</w:t>
            </w:r>
          </w:p>
        </w:tc>
      </w:tr>
      <w:tr w:rsidR="00D40CF5" w:rsidRPr="00E862B3" w14:paraId="798733AA" w14:textId="77777777" w:rsidTr="00D40CF5">
        <w:trPr>
          <w:jc w:val="center"/>
        </w:trPr>
        <w:tc>
          <w:tcPr>
            <w:tcW w:w="4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4F61803" w14:textId="72466FEB" w:rsidR="00D40CF5" w:rsidRPr="00E862B3" w:rsidRDefault="00D40CF5" w:rsidP="008D2FA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E862B3">
              <w:rPr>
                <w:rFonts w:eastAsia="Times New Roman"/>
                <w:sz w:val="20"/>
                <w:szCs w:val="20"/>
              </w:rPr>
              <w:t>Married, younger than 35, no children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0040920" w14:textId="1CDF10F8" w:rsidR="00D40CF5" w:rsidRPr="00E862B3" w:rsidRDefault="00D40CF5" w:rsidP="008D2FA3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 w:rsidRPr="00E862B3">
              <w:rPr>
                <w:rFonts w:eastAsia="Times New Roman"/>
                <w:sz w:val="20"/>
                <w:szCs w:val="20"/>
              </w:rPr>
              <w:t>5.5%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15DEE8E5" w14:textId="6A1BEFEB" w:rsidR="00D40CF5" w:rsidRPr="00E862B3" w:rsidRDefault="00D40CF5" w:rsidP="008D2FA3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 w:rsidRPr="00E862B3">
              <w:rPr>
                <w:rFonts w:eastAsia="Times New Roman"/>
                <w:sz w:val="20"/>
                <w:szCs w:val="20"/>
              </w:rPr>
              <w:t>104</w:t>
            </w:r>
          </w:p>
        </w:tc>
      </w:tr>
      <w:tr w:rsidR="00D40CF5" w:rsidRPr="00E862B3" w14:paraId="1B541544" w14:textId="77777777" w:rsidTr="00EB6340">
        <w:trPr>
          <w:jc w:val="center"/>
        </w:trPr>
        <w:tc>
          <w:tcPr>
            <w:tcW w:w="4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2D5F01A" w14:textId="53367109" w:rsidR="00D40CF5" w:rsidRPr="00E862B3" w:rsidRDefault="00D40CF5" w:rsidP="008D2FA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E862B3">
              <w:rPr>
                <w:rFonts w:eastAsia="Times New Roman"/>
                <w:sz w:val="20"/>
                <w:szCs w:val="20"/>
              </w:rPr>
              <w:t>Children at home, any age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7468EC49" w14:textId="00A663F3" w:rsidR="00D40CF5" w:rsidRPr="00E862B3" w:rsidRDefault="00D40CF5" w:rsidP="008D2FA3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 w:rsidRPr="00E862B3">
              <w:rPr>
                <w:rFonts w:eastAsia="Times New Roman"/>
                <w:sz w:val="20"/>
                <w:szCs w:val="20"/>
              </w:rPr>
              <w:t>66.9%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783D9A5C" w14:textId="788A0886" w:rsidR="00D40CF5" w:rsidRPr="00E862B3" w:rsidRDefault="00D40CF5" w:rsidP="008D2FA3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 w:rsidRPr="00E862B3">
              <w:rPr>
                <w:rFonts w:eastAsia="Times New Roman"/>
                <w:sz w:val="20"/>
                <w:szCs w:val="20"/>
              </w:rPr>
              <w:t>113</w:t>
            </w:r>
          </w:p>
        </w:tc>
      </w:tr>
      <w:tr w:rsidR="00D40CF5" w:rsidRPr="00E862B3" w14:paraId="5002EB13" w14:textId="77777777" w:rsidTr="00EB6340">
        <w:trPr>
          <w:jc w:val="center"/>
        </w:trPr>
        <w:tc>
          <w:tcPr>
            <w:tcW w:w="4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3C08D80" w14:textId="387086E7" w:rsidR="00D40CF5" w:rsidRPr="00E862B3" w:rsidRDefault="00D40CF5" w:rsidP="008D2FA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E862B3">
              <w:rPr>
                <w:rFonts w:eastAsia="Times New Roman"/>
                <w:sz w:val="20"/>
                <w:szCs w:val="20"/>
              </w:rPr>
              <w:t>Any children, younger than 6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0D011908" w14:textId="2FBD7425" w:rsidR="00D40CF5" w:rsidRPr="00E862B3" w:rsidRDefault="00D40CF5" w:rsidP="008D2FA3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 w:rsidRPr="00E862B3">
              <w:rPr>
                <w:rFonts w:eastAsia="Times New Roman"/>
                <w:sz w:val="20"/>
                <w:szCs w:val="20"/>
              </w:rPr>
              <w:t>33.6%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7E29FDDA" w14:textId="796BC075" w:rsidR="00D40CF5" w:rsidRPr="00E862B3" w:rsidRDefault="00D40CF5" w:rsidP="008D2FA3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 w:rsidRPr="00E862B3">
              <w:rPr>
                <w:rFonts w:eastAsia="Times New Roman"/>
                <w:sz w:val="20"/>
                <w:szCs w:val="20"/>
              </w:rPr>
              <w:t>114</w:t>
            </w:r>
          </w:p>
        </w:tc>
      </w:tr>
      <w:tr w:rsidR="00D40CF5" w:rsidRPr="00E862B3" w14:paraId="48FB4C24" w14:textId="77777777" w:rsidTr="00EB6340">
        <w:trPr>
          <w:jc w:val="center"/>
        </w:trPr>
        <w:tc>
          <w:tcPr>
            <w:tcW w:w="4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B0124C7" w14:textId="1E540277" w:rsidR="00D40CF5" w:rsidRPr="00E862B3" w:rsidRDefault="00D40CF5" w:rsidP="008D2FA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E862B3">
              <w:rPr>
                <w:rFonts w:eastAsia="Times New Roman"/>
                <w:sz w:val="20"/>
                <w:szCs w:val="20"/>
              </w:rPr>
              <w:t>Children, any age, 6</w:t>
            </w:r>
            <w:r w:rsidRPr="00E862B3">
              <w:rPr>
                <w:rFonts w:ascii="Verdana" w:eastAsia="Times New Roman" w:hAnsi="Verdana"/>
                <w:sz w:val="20"/>
                <w:szCs w:val="20"/>
              </w:rPr>
              <w:t>–</w:t>
            </w:r>
            <w:r w:rsidRPr="00E862B3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15EC96D9" w14:textId="2D932191" w:rsidR="00D40CF5" w:rsidRPr="00E862B3" w:rsidRDefault="00D40CF5" w:rsidP="008D2FA3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 w:rsidRPr="00E862B3">
              <w:rPr>
                <w:rFonts w:eastAsia="Times New Roman"/>
                <w:sz w:val="20"/>
                <w:szCs w:val="20"/>
              </w:rPr>
              <w:t>37.4%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3063D149" w14:textId="3AF21C60" w:rsidR="00D40CF5" w:rsidRPr="00E862B3" w:rsidRDefault="00D40CF5" w:rsidP="008D2FA3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 w:rsidRPr="00E862B3">
              <w:rPr>
                <w:rFonts w:eastAsia="Times New Roman"/>
                <w:sz w:val="20"/>
                <w:szCs w:val="20"/>
              </w:rPr>
              <w:t>117</w:t>
            </w:r>
          </w:p>
        </w:tc>
      </w:tr>
      <w:tr w:rsidR="00D40CF5" w:rsidRPr="00E862B3" w14:paraId="5756EFC0" w14:textId="77777777" w:rsidTr="00EB6340">
        <w:trPr>
          <w:jc w:val="center"/>
        </w:trPr>
        <w:tc>
          <w:tcPr>
            <w:tcW w:w="408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BA4D966" w14:textId="19A0BAE5" w:rsidR="00D40CF5" w:rsidRPr="00E862B3" w:rsidRDefault="00D40CF5" w:rsidP="008D2FA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E862B3">
              <w:rPr>
                <w:rFonts w:eastAsia="Times New Roman"/>
                <w:sz w:val="20"/>
                <w:szCs w:val="20"/>
              </w:rPr>
              <w:t>Children, any age, 13</w:t>
            </w:r>
            <w:r w:rsidRPr="00E862B3">
              <w:rPr>
                <w:rFonts w:ascii="Verdana" w:eastAsia="Times New Roman" w:hAnsi="Verdana"/>
                <w:sz w:val="20"/>
                <w:szCs w:val="20"/>
              </w:rPr>
              <w:t>–</w:t>
            </w:r>
            <w:r w:rsidRPr="00E862B3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2E3505AF" w14:textId="09745B31" w:rsidR="00D40CF5" w:rsidRPr="00E862B3" w:rsidRDefault="00D40CF5" w:rsidP="008D2FA3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 w:rsidRPr="00E862B3">
              <w:rPr>
                <w:rFonts w:eastAsia="Times New Roman"/>
                <w:sz w:val="20"/>
                <w:szCs w:val="20"/>
              </w:rPr>
              <w:t>20.1%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8" w:space="0" w:color="auto"/>
              <w:bottom w:val="single" w:sz="12" w:space="0" w:color="000000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4327C624" w14:textId="6E768CCB" w:rsidR="00D40CF5" w:rsidRPr="00E862B3" w:rsidRDefault="00D40CF5" w:rsidP="008D2FA3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 w:rsidRPr="00E862B3">
              <w:rPr>
                <w:rFonts w:eastAsia="Times New Roman"/>
                <w:sz w:val="20"/>
                <w:szCs w:val="20"/>
              </w:rPr>
              <w:t>119</w:t>
            </w:r>
          </w:p>
        </w:tc>
      </w:tr>
    </w:tbl>
    <w:p w14:paraId="3D388E2A" w14:textId="05255434" w:rsidR="00D40CF5" w:rsidRPr="00E862B3" w:rsidRDefault="00D40CF5" w:rsidP="00D40CF5">
      <w:pPr>
        <w:tabs>
          <w:tab w:val="left" w:pos="1530"/>
        </w:tabs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  <w:r w:rsidRPr="00E862B3">
        <w:rPr>
          <w:sz w:val="16"/>
          <w:szCs w:val="16"/>
        </w:rPr>
        <w:tab/>
        <w:t>The Media Audit February 2019 Aggregate Report (66 markets, 143 million adults)</w:t>
      </w:r>
    </w:p>
    <w:p w14:paraId="152528E5" w14:textId="2C5FBE4A" w:rsidR="00AB1210" w:rsidRPr="00E862B3" w:rsidRDefault="00AB1210" w:rsidP="00D40CF5">
      <w:pPr>
        <w:spacing w:after="0" w:line="240" w:lineRule="auto"/>
        <w:contextualSpacing/>
        <w:mirrorIndents/>
        <w:jc w:val="center"/>
        <w:rPr>
          <w:rFonts w:ascii="Verdana" w:hAnsi="Verdana"/>
          <w:b/>
          <w:color w:val="0070C0"/>
          <w:sz w:val="20"/>
          <w:szCs w:val="20"/>
        </w:rPr>
      </w:pPr>
      <w:r w:rsidRPr="00E862B3">
        <w:rPr>
          <w:rFonts w:ascii="Verdana" w:hAnsi="Verdana"/>
          <w:b/>
          <w:color w:val="0070C0"/>
          <w:sz w:val="20"/>
          <w:szCs w:val="20"/>
        </w:rPr>
        <w:lastRenderedPageBreak/>
        <w:t>Consumers Aren’t Resistant to Buying Furniture Online</w:t>
      </w:r>
    </w:p>
    <w:p w14:paraId="4D9E86AD" w14:textId="77777777" w:rsidR="00AB1210" w:rsidRPr="00E862B3" w:rsidRDefault="00AB1210" w:rsidP="00AB1210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42E9B26E" w14:textId="20D8477C" w:rsidR="00D40CF5" w:rsidRPr="00E862B3" w:rsidRDefault="00743A94" w:rsidP="00743A94">
      <w:pPr>
        <w:pStyle w:val="ListParagraph"/>
        <w:numPr>
          <w:ilvl w:val="0"/>
          <w:numId w:val="6"/>
        </w:numPr>
        <w:spacing w:after="0" w:line="240" w:lineRule="auto"/>
        <w:mirrorIndents/>
        <w:rPr>
          <w:rFonts w:ascii="Verdana" w:hAnsi="Verdana"/>
          <w:sz w:val="20"/>
          <w:szCs w:val="20"/>
        </w:rPr>
      </w:pPr>
      <w:r w:rsidRPr="00E862B3">
        <w:rPr>
          <w:rFonts w:ascii="Verdana" w:hAnsi="Verdana"/>
          <w:sz w:val="20"/>
          <w:szCs w:val="20"/>
        </w:rPr>
        <w:t xml:space="preserve">As cited in Media Group Online’s </w:t>
      </w:r>
      <w:r w:rsidR="00495466" w:rsidRPr="00E862B3">
        <w:rPr>
          <w:rFonts w:ascii="Verdana" w:hAnsi="Verdana"/>
          <w:sz w:val="20"/>
          <w:szCs w:val="20"/>
        </w:rPr>
        <w:t>September 2019 New Media Insights Report, Big Ticket Purchases Crash the Internet, a Walker Sands Communications March 2019 survey found 33% of consumers browsed and 20% purchased furniture online.</w:t>
      </w:r>
    </w:p>
    <w:p w14:paraId="3085FF91" w14:textId="77777777" w:rsidR="00D40CF5" w:rsidRPr="00E862B3" w:rsidRDefault="00D40CF5" w:rsidP="00AB1210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5E7447E5" w14:textId="104A7C8B" w:rsidR="00D40CF5" w:rsidRPr="00E862B3" w:rsidRDefault="00495466" w:rsidP="00495466">
      <w:pPr>
        <w:pStyle w:val="ListParagraph"/>
        <w:numPr>
          <w:ilvl w:val="0"/>
          <w:numId w:val="6"/>
        </w:numPr>
        <w:spacing w:after="0" w:line="240" w:lineRule="auto"/>
        <w:mirrorIndents/>
        <w:rPr>
          <w:rFonts w:ascii="Verdana" w:hAnsi="Verdana"/>
          <w:sz w:val="20"/>
          <w:szCs w:val="20"/>
        </w:rPr>
      </w:pPr>
      <w:r w:rsidRPr="00E862B3">
        <w:rPr>
          <w:rFonts w:ascii="Verdana" w:hAnsi="Verdana"/>
          <w:sz w:val="20"/>
          <w:szCs w:val="20"/>
        </w:rPr>
        <w:t xml:space="preserve">eMarketer reports e-commerce </w:t>
      </w:r>
      <w:r w:rsidR="00EB6340" w:rsidRPr="00E862B3">
        <w:rPr>
          <w:rFonts w:ascii="Verdana" w:hAnsi="Verdana"/>
          <w:sz w:val="20"/>
          <w:szCs w:val="20"/>
        </w:rPr>
        <w:t xml:space="preserve">retail sales of </w:t>
      </w:r>
      <w:r w:rsidRPr="00E862B3">
        <w:rPr>
          <w:rFonts w:ascii="Verdana" w:hAnsi="Verdana"/>
          <w:sz w:val="20"/>
          <w:szCs w:val="20"/>
        </w:rPr>
        <w:t>furniture and home furnishings increased 16.4% during 2018, to $56.14 billion, and will increase at a double-digit rate through 2022, when sales will total $97.46 million.</w:t>
      </w:r>
    </w:p>
    <w:p w14:paraId="7640C2F7" w14:textId="77777777" w:rsidR="00D40CF5" w:rsidRPr="00E862B3" w:rsidRDefault="00D40CF5" w:rsidP="00AB1210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4AE9594C" w14:textId="24881DA7" w:rsidR="00D40CF5" w:rsidRPr="00E862B3" w:rsidRDefault="001608F3" w:rsidP="00495466">
      <w:pPr>
        <w:pStyle w:val="ListParagraph"/>
        <w:numPr>
          <w:ilvl w:val="0"/>
          <w:numId w:val="6"/>
        </w:numPr>
        <w:spacing w:after="0" w:line="240" w:lineRule="auto"/>
        <w:mirrorIndents/>
        <w:rPr>
          <w:rFonts w:ascii="Verdana" w:hAnsi="Verdana"/>
          <w:sz w:val="20"/>
          <w:szCs w:val="20"/>
        </w:rPr>
      </w:pPr>
      <w:r w:rsidRPr="00E862B3">
        <w:rPr>
          <w:rFonts w:ascii="Verdana" w:hAnsi="Verdana"/>
          <w:sz w:val="20"/>
          <w:szCs w:val="20"/>
        </w:rPr>
        <w:t>More and more direct-to-consumer (DTC) brands, including furniture and home furnishings, are using TV advertising. The top 125 DTC brands, according to a VAB study, spent $3.8 billion on TV during 2018, a 60% YOY increase.</w:t>
      </w:r>
    </w:p>
    <w:p w14:paraId="65288062" w14:textId="77777777" w:rsidR="001608F3" w:rsidRPr="00E862B3" w:rsidRDefault="001608F3" w:rsidP="00AB1210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0E96DA2C" w14:textId="77777777" w:rsidR="003A402E" w:rsidRPr="00E862B3" w:rsidRDefault="003A402E" w:rsidP="003A402E">
      <w:pPr>
        <w:pStyle w:val="Header"/>
        <w:contextualSpacing/>
        <w:jc w:val="center"/>
        <w:rPr>
          <w:rFonts w:ascii="Verdana" w:hAnsi="Verdana"/>
          <w:b/>
          <w:sz w:val="20"/>
          <w:szCs w:val="20"/>
        </w:rPr>
      </w:pPr>
      <w:r w:rsidRPr="00E862B3">
        <w:rPr>
          <w:rFonts w:ascii="Verdana" w:hAnsi="Verdana"/>
          <w:b/>
          <w:sz w:val="20"/>
          <w:szCs w:val="20"/>
        </w:rPr>
        <w:t xml:space="preserve">Top 10 Stores Where </w:t>
      </w:r>
      <w:r w:rsidRPr="00E862B3">
        <w:rPr>
          <w:b/>
          <w:sz w:val="20"/>
          <w:szCs w:val="20"/>
        </w:rPr>
        <w:t>Adults 25</w:t>
      </w:r>
      <w:r w:rsidRPr="00E862B3">
        <w:rPr>
          <w:rFonts w:ascii="Verdana" w:hAnsi="Verdana"/>
          <w:b/>
          <w:sz w:val="20"/>
          <w:szCs w:val="20"/>
        </w:rPr>
        <w:t xml:space="preserve">–44 Who Plan to Buy New Furniture </w:t>
      </w:r>
    </w:p>
    <w:p w14:paraId="78AA4CDA" w14:textId="31546AED" w:rsidR="008D2FA3" w:rsidRPr="00E862B3" w:rsidRDefault="003A402E" w:rsidP="003A402E">
      <w:pPr>
        <w:pStyle w:val="Header"/>
        <w:contextualSpacing/>
        <w:jc w:val="center"/>
        <w:rPr>
          <w:rFonts w:ascii="Verdana" w:hAnsi="Verdana"/>
          <w:b/>
          <w:sz w:val="20"/>
          <w:szCs w:val="20"/>
        </w:rPr>
      </w:pPr>
      <w:r w:rsidRPr="00E862B3">
        <w:rPr>
          <w:rFonts w:ascii="Verdana" w:hAnsi="Verdana"/>
          <w:b/>
          <w:sz w:val="20"/>
          <w:szCs w:val="20"/>
        </w:rPr>
        <w:t xml:space="preserve">During the Next 12 Months </w:t>
      </w:r>
      <w:r w:rsidR="008D2FA3" w:rsidRPr="00E862B3">
        <w:rPr>
          <w:rFonts w:ascii="Verdana" w:hAnsi="Verdana"/>
          <w:b/>
          <w:sz w:val="20"/>
          <w:szCs w:val="20"/>
        </w:rPr>
        <w:t>Shop for Furniture</w:t>
      </w:r>
      <w:r w:rsidRPr="00E862B3">
        <w:rPr>
          <w:rFonts w:ascii="Verdana" w:hAnsi="Verdana"/>
          <w:b/>
          <w:sz w:val="20"/>
          <w:szCs w:val="20"/>
        </w:rPr>
        <w:t>/Mattress</w:t>
      </w:r>
      <w:r w:rsidR="008D2FA3" w:rsidRPr="00E862B3">
        <w:rPr>
          <w:rFonts w:ascii="Verdana" w:hAnsi="Verdana"/>
          <w:b/>
          <w:sz w:val="20"/>
          <w:szCs w:val="20"/>
        </w:rPr>
        <w:t>, February 201</w:t>
      </w:r>
      <w:r w:rsidRPr="00E862B3">
        <w:rPr>
          <w:rFonts w:ascii="Verdana" w:hAnsi="Verdana"/>
          <w:b/>
          <w:sz w:val="20"/>
          <w:szCs w:val="20"/>
        </w:rPr>
        <w:t>9</w:t>
      </w:r>
    </w:p>
    <w:tbl>
      <w:tblPr>
        <w:tblW w:w="5220" w:type="dxa"/>
        <w:jc w:val="center"/>
        <w:tblBorders>
          <w:left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71"/>
        <w:gridCol w:w="1063"/>
        <w:gridCol w:w="1086"/>
      </w:tblGrid>
      <w:tr w:rsidR="003A402E" w:rsidRPr="00E862B3" w14:paraId="38C878C0" w14:textId="77777777" w:rsidTr="003A402E">
        <w:trPr>
          <w:jc w:val="center"/>
        </w:trPr>
        <w:tc>
          <w:tcPr>
            <w:tcW w:w="307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3635E00F" w14:textId="087F8D0D" w:rsidR="003A402E" w:rsidRPr="00E862B3" w:rsidRDefault="003A402E" w:rsidP="003A402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E862B3">
              <w:rPr>
                <w:rFonts w:ascii="Verdana" w:eastAsia="Times New Roman" w:hAnsi="Verdana"/>
                <w:sz w:val="20"/>
                <w:szCs w:val="20"/>
              </w:rPr>
              <w:t>Store</w:t>
            </w:r>
          </w:p>
        </w:tc>
        <w:tc>
          <w:tcPr>
            <w:tcW w:w="1063" w:type="dxa"/>
            <w:tcBorders>
              <w:top w:val="single" w:sz="12" w:space="0" w:color="000000"/>
              <w:left w:val="single" w:sz="18" w:space="0" w:color="auto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E1758B" w14:textId="77777777" w:rsidR="003A402E" w:rsidRPr="00E862B3" w:rsidRDefault="003A402E" w:rsidP="003A402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E862B3">
              <w:rPr>
                <w:rFonts w:ascii="Verdana" w:eastAsia="Times New Roman" w:hAnsi="Verdana"/>
                <w:sz w:val="20"/>
                <w:szCs w:val="20"/>
              </w:rPr>
              <w:t>Percent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23672406" w14:textId="77777777" w:rsidR="003A402E" w:rsidRPr="00E862B3" w:rsidRDefault="003A402E" w:rsidP="003A402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E862B3">
              <w:rPr>
                <w:rFonts w:ascii="Verdana" w:eastAsia="Times New Roman" w:hAnsi="Verdana"/>
                <w:sz w:val="20"/>
                <w:szCs w:val="20"/>
              </w:rPr>
              <w:t>Index</w:t>
            </w:r>
          </w:p>
        </w:tc>
      </w:tr>
      <w:tr w:rsidR="003A402E" w:rsidRPr="00E862B3" w14:paraId="51E31328" w14:textId="77777777" w:rsidTr="003A402E">
        <w:trPr>
          <w:trHeight w:val="243"/>
          <w:jc w:val="center"/>
        </w:trPr>
        <w:tc>
          <w:tcPr>
            <w:tcW w:w="3071" w:type="dxa"/>
            <w:tcBorders>
              <w:top w:val="single" w:sz="18" w:space="0" w:color="000000"/>
              <w:left w:val="single" w:sz="12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7DCD3051" w14:textId="40F059A5" w:rsidR="003A402E" w:rsidRPr="00E862B3" w:rsidRDefault="003A402E" w:rsidP="008D2FA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 w:rsidRPr="00E862B3">
              <w:rPr>
                <w:rFonts w:ascii="Verdana" w:eastAsia="Times New Roman" w:hAnsi="Verdana"/>
                <w:sz w:val="20"/>
                <w:szCs w:val="20"/>
              </w:rPr>
              <w:t>Amazon.com</w:t>
            </w:r>
          </w:p>
        </w:tc>
        <w:tc>
          <w:tcPr>
            <w:tcW w:w="1063" w:type="dxa"/>
            <w:tcBorders>
              <w:top w:val="single" w:sz="18" w:space="0" w:color="000000"/>
              <w:left w:val="single" w:sz="1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C39A12" w14:textId="3E49FADB" w:rsidR="003A402E" w:rsidRPr="00E862B3" w:rsidRDefault="003A402E" w:rsidP="008D2FA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E862B3">
              <w:rPr>
                <w:rFonts w:ascii="Verdana" w:eastAsia="Times New Roman" w:hAnsi="Verdana"/>
                <w:sz w:val="20"/>
                <w:szCs w:val="20"/>
              </w:rPr>
              <w:t>32.5%</w:t>
            </w:r>
          </w:p>
        </w:tc>
        <w:tc>
          <w:tcPr>
            <w:tcW w:w="1086" w:type="dxa"/>
            <w:tcBorders>
              <w:top w:val="single" w:sz="18" w:space="0" w:color="000000"/>
              <w:left w:val="single" w:sz="8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41FA8E1D" w14:textId="59ABDF0B" w:rsidR="003A402E" w:rsidRPr="00E862B3" w:rsidRDefault="003A402E" w:rsidP="008D2FA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E862B3">
              <w:rPr>
                <w:rFonts w:ascii="Verdana" w:eastAsia="Times New Roman" w:hAnsi="Verdana"/>
                <w:sz w:val="20"/>
                <w:szCs w:val="20"/>
              </w:rPr>
              <w:t>141</w:t>
            </w:r>
          </w:p>
        </w:tc>
      </w:tr>
      <w:tr w:rsidR="003A402E" w:rsidRPr="00E862B3" w14:paraId="2A4F7FFA" w14:textId="77777777" w:rsidTr="003A402E">
        <w:trPr>
          <w:trHeight w:val="243"/>
          <w:jc w:val="center"/>
        </w:trPr>
        <w:tc>
          <w:tcPr>
            <w:tcW w:w="3071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0F62D028" w14:textId="1674BB9F" w:rsidR="003A402E" w:rsidRPr="00E862B3" w:rsidRDefault="003A402E" w:rsidP="008D2FA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 w:rsidRPr="00E862B3">
              <w:rPr>
                <w:rFonts w:ascii="Verdana" w:eastAsia="Times New Roman" w:hAnsi="Verdana"/>
                <w:sz w:val="20"/>
                <w:szCs w:val="20"/>
              </w:rPr>
              <w:t>Ikea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D85437" w14:textId="140F5607" w:rsidR="003A402E" w:rsidRPr="00E862B3" w:rsidRDefault="003A402E" w:rsidP="008D2FA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E862B3">
              <w:rPr>
                <w:rFonts w:ascii="Verdana" w:eastAsia="Times New Roman" w:hAnsi="Verdana"/>
                <w:sz w:val="20"/>
                <w:szCs w:val="20"/>
              </w:rPr>
              <w:t>27.8%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722398F8" w14:textId="05915057" w:rsidR="003A402E" w:rsidRPr="00E862B3" w:rsidRDefault="003A402E" w:rsidP="008D2FA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E862B3">
              <w:rPr>
                <w:rFonts w:ascii="Verdana" w:eastAsia="Times New Roman" w:hAnsi="Verdana"/>
                <w:sz w:val="20"/>
                <w:szCs w:val="20"/>
              </w:rPr>
              <w:t>160</w:t>
            </w:r>
          </w:p>
        </w:tc>
      </w:tr>
      <w:tr w:rsidR="003A402E" w:rsidRPr="00E862B3" w14:paraId="7A8B73B8" w14:textId="77777777" w:rsidTr="003A402E">
        <w:trPr>
          <w:trHeight w:val="243"/>
          <w:jc w:val="center"/>
        </w:trPr>
        <w:tc>
          <w:tcPr>
            <w:tcW w:w="3071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46ED59E2" w14:textId="7CC29ECF" w:rsidR="003A402E" w:rsidRPr="00E862B3" w:rsidRDefault="003A402E" w:rsidP="003A402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 w:rsidRPr="00E862B3">
              <w:rPr>
                <w:rFonts w:ascii="Verdana" w:eastAsia="Times New Roman" w:hAnsi="Verdana"/>
                <w:sz w:val="20"/>
                <w:szCs w:val="20"/>
              </w:rPr>
              <w:t>Walmart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9E188F" w14:textId="51537118" w:rsidR="003A402E" w:rsidRPr="00E862B3" w:rsidRDefault="003A402E" w:rsidP="003A402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E862B3">
              <w:rPr>
                <w:rFonts w:ascii="Verdana" w:eastAsia="Times New Roman" w:hAnsi="Verdana"/>
                <w:sz w:val="20"/>
                <w:szCs w:val="20"/>
              </w:rPr>
              <w:t>23.4%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3E20D72D" w14:textId="09269657" w:rsidR="003A402E" w:rsidRPr="00E862B3" w:rsidRDefault="003A402E" w:rsidP="003A402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E862B3">
              <w:rPr>
                <w:rFonts w:ascii="Verdana" w:eastAsia="Times New Roman" w:hAnsi="Verdana"/>
                <w:sz w:val="20"/>
                <w:szCs w:val="20"/>
              </w:rPr>
              <w:t>140</w:t>
            </w:r>
          </w:p>
        </w:tc>
      </w:tr>
      <w:tr w:rsidR="003A402E" w:rsidRPr="00E862B3" w14:paraId="6D752215" w14:textId="77777777" w:rsidTr="003A402E">
        <w:trPr>
          <w:trHeight w:val="243"/>
          <w:jc w:val="center"/>
        </w:trPr>
        <w:tc>
          <w:tcPr>
            <w:tcW w:w="3071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52E34F41" w14:textId="3B620BC5" w:rsidR="003A402E" w:rsidRPr="00E862B3" w:rsidRDefault="003A402E" w:rsidP="003A402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 w:rsidRPr="00E862B3">
              <w:rPr>
                <w:rFonts w:ascii="Verdana" w:eastAsia="Times New Roman" w:hAnsi="Verdana"/>
                <w:sz w:val="20"/>
                <w:szCs w:val="20"/>
              </w:rPr>
              <w:t>Ashley Furniture Homestore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6462BA" w14:textId="767421F2" w:rsidR="003A402E" w:rsidRPr="00E862B3" w:rsidRDefault="003A402E" w:rsidP="003A402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E862B3">
              <w:rPr>
                <w:rFonts w:ascii="Verdana" w:eastAsia="Times New Roman" w:hAnsi="Verdana"/>
                <w:sz w:val="20"/>
                <w:szCs w:val="20"/>
              </w:rPr>
              <w:t>17.5%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272C6BEA" w14:textId="3CD32C69" w:rsidR="003A402E" w:rsidRPr="00E862B3" w:rsidRDefault="003A402E" w:rsidP="003A402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E862B3">
              <w:rPr>
                <w:rFonts w:ascii="Verdana" w:eastAsia="Times New Roman" w:hAnsi="Verdana"/>
                <w:sz w:val="20"/>
                <w:szCs w:val="20"/>
              </w:rPr>
              <w:t>147</w:t>
            </w:r>
          </w:p>
        </w:tc>
      </w:tr>
      <w:tr w:rsidR="003A402E" w:rsidRPr="00E862B3" w14:paraId="6F3A2125" w14:textId="77777777" w:rsidTr="003A402E">
        <w:trPr>
          <w:trHeight w:val="243"/>
          <w:jc w:val="center"/>
        </w:trPr>
        <w:tc>
          <w:tcPr>
            <w:tcW w:w="3071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41A95FFD" w14:textId="61D8313B" w:rsidR="003A402E" w:rsidRPr="00E862B3" w:rsidRDefault="003A402E" w:rsidP="003A402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 w:rsidRPr="00E862B3">
              <w:rPr>
                <w:rFonts w:ascii="Verdana" w:eastAsia="Times New Roman" w:hAnsi="Verdana"/>
                <w:sz w:val="20"/>
                <w:szCs w:val="20"/>
              </w:rPr>
              <w:t>Target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D4372B" w14:textId="3CF7C4F0" w:rsidR="003A402E" w:rsidRPr="00E862B3" w:rsidRDefault="003A402E" w:rsidP="003A402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E862B3">
              <w:rPr>
                <w:rFonts w:ascii="Verdana" w:eastAsia="Times New Roman" w:hAnsi="Verdana"/>
                <w:sz w:val="20"/>
                <w:szCs w:val="20"/>
              </w:rPr>
              <w:t>17.1%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7D552051" w14:textId="08E511EC" w:rsidR="003A402E" w:rsidRPr="00E862B3" w:rsidRDefault="003A402E" w:rsidP="003A402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E862B3">
              <w:rPr>
                <w:rFonts w:ascii="Verdana" w:eastAsia="Times New Roman" w:hAnsi="Verdana"/>
                <w:sz w:val="20"/>
                <w:szCs w:val="20"/>
              </w:rPr>
              <w:t>169</w:t>
            </w:r>
          </w:p>
        </w:tc>
      </w:tr>
      <w:tr w:rsidR="003A402E" w:rsidRPr="00E862B3" w14:paraId="38B28585" w14:textId="77777777" w:rsidTr="003A402E">
        <w:trPr>
          <w:trHeight w:val="243"/>
          <w:jc w:val="center"/>
        </w:trPr>
        <w:tc>
          <w:tcPr>
            <w:tcW w:w="3071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63A86FA5" w14:textId="6D71ECF5" w:rsidR="003A402E" w:rsidRPr="00E862B3" w:rsidRDefault="003A402E" w:rsidP="003A402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 w:rsidRPr="00E862B3">
              <w:rPr>
                <w:rFonts w:ascii="Verdana" w:eastAsia="Times New Roman" w:hAnsi="Verdana"/>
                <w:sz w:val="20"/>
                <w:szCs w:val="20"/>
              </w:rPr>
              <w:t>Big Lots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CFFFE1" w14:textId="2F0DA065" w:rsidR="003A402E" w:rsidRPr="00E862B3" w:rsidRDefault="003A402E" w:rsidP="003A402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E862B3">
              <w:rPr>
                <w:rFonts w:ascii="Verdana" w:eastAsia="Times New Roman" w:hAnsi="Verdana"/>
                <w:sz w:val="20"/>
                <w:szCs w:val="20"/>
              </w:rPr>
              <w:t>13.6%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79984D00" w14:textId="18536E3C" w:rsidR="003A402E" w:rsidRPr="00E862B3" w:rsidRDefault="003A402E" w:rsidP="003A402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E862B3">
              <w:rPr>
                <w:rFonts w:ascii="Verdana" w:eastAsia="Times New Roman" w:hAnsi="Verdana"/>
                <w:sz w:val="20"/>
                <w:szCs w:val="20"/>
              </w:rPr>
              <w:t>151</w:t>
            </w:r>
          </w:p>
        </w:tc>
      </w:tr>
      <w:tr w:rsidR="003A402E" w:rsidRPr="00E862B3" w14:paraId="7211B5B0" w14:textId="77777777" w:rsidTr="003A402E">
        <w:trPr>
          <w:trHeight w:val="243"/>
          <w:jc w:val="center"/>
        </w:trPr>
        <w:tc>
          <w:tcPr>
            <w:tcW w:w="3071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33B91D0E" w14:textId="19394940" w:rsidR="003A402E" w:rsidRPr="00E862B3" w:rsidRDefault="003A402E" w:rsidP="003A402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 w:rsidRPr="00E862B3">
              <w:rPr>
                <w:rFonts w:ascii="Verdana" w:eastAsia="Times New Roman" w:hAnsi="Verdana"/>
                <w:sz w:val="20"/>
                <w:szCs w:val="20"/>
              </w:rPr>
              <w:t>Bed, Bath &amp; Beyond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9C5E7A" w14:textId="234455DA" w:rsidR="003A402E" w:rsidRPr="00E862B3" w:rsidRDefault="003A402E" w:rsidP="003A402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E862B3">
              <w:rPr>
                <w:rFonts w:ascii="Verdana" w:eastAsia="Times New Roman" w:hAnsi="Verdana"/>
                <w:sz w:val="20"/>
                <w:szCs w:val="20"/>
              </w:rPr>
              <w:t>12.9%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0CE15799" w14:textId="0A38DAAE" w:rsidR="003A402E" w:rsidRPr="00E862B3" w:rsidRDefault="003A402E" w:rsidP="003A402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E862B3">
              <w:rPr>
                <w:rFonts w:ascii="Verdana" w:eastAsia="Times New Roman" w:hAnsi="Verdana"/>
                <w:sz w:val="20"/>
                <w:szCs w:val="20"/>
              </w:rPr>
              <w:t>166</w:t>
            </w:r>
          </w:p>
        </w:tc>
      </w:tr>
      <w:tr w:rsidR="003A402E" w:rsidRPr="00E862B3" w14:paraId="70455A16" w14:textId="77777777" w:rsidTr="003A402E">
        <w:trPr>
          <w:trHeight w:val="243"/>
          <w:jc w:val="center"/>
        </w:trPr>
        <w:tc>
          <w:tcPr>
            <w:tcW w:w="3071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2C740412" w14:textId="1AB17317" w:rsidR="003A402E" w:rsidRPr="00E862B3" w:rsidRDefault="003A402E" w:rsidP="003A402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 w:rsidRPr="00E862B3">
              <w:rPr>
                <w:rFonts w:ascii="Verdana" w:eastAsia="Times New Roman" w:hAnsi="Verdana"/>
                <w:sz w:val="20"/>
                <w:szCs w:val="20"/>
              </w:rPr>
              <w:t>Mattress Firm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CCE600" w14:textId="0EDCF760" w:rsidR="003A402E" w:rsidRPr="00E862B3" w:rsidRDefault="003A402E" w:rsidP="003A402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E862B3">
              <w:rPr>
                <w:rFonts w:ascii="Verdana" w:eastAsia="Times New Roman" w:hAnsi="Verdana"/>
                <w:sz w:val="20"/>
                <w:szCs w:val="20"/>
              </w:rPr>
              <w:t>12.5%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44A0886F" w14:textId="6770140A" w:rsidR="003A402E" w:rsidRPr="00E862B3" w:rsidRDefault="003A402E" w:rsidP="003A402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E862B3">
              <w:rPr>
                <w:rFonts w:ascii="Verdana" w:eastAsia="Times New Roman" w:hAnsi="Verdana"/>
                <w:sz w:val="20"/>
                <w:szCs w:val="20"/>
              </w:rPr>
              <w:t>135</w:t>
            </w:r>
          </w:p>
        </w:tc>
      </w:tr>
      <w:tr w:rsidR="003A402E" w:rsidRPr="00E862B3" w14:paraId="711D066C" w14:textId="77777777" w:rsidTr="003A402E">
        <w:trPr>
          <w:trHeight w:val="243"/>
          <w:jc w:val="center"/>
        </w:trPr>
        <w:tc>
          <w:tcPr>
            <w:tcW w:w="3071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2F9DE53F" w14:textId="55207D8C" w:rsidR="003A402E" w:rsidRPr="00E862B3" w:rsidRDefault="003A402E" w:rsidP="003A402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 w:rsidRPr="00E862B3">
              <w:rPr>
                <w:rFonts w:ascii="Verdana" w:eastAsia="Times New Roman" w:hAnsi="Verdana"/>
                <w:sz w:val="20"/>
                <w:szCs w:val="20"/>
              </w:rPr>
              <w:t>Costco Wholesale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70610D" w14:textId="6B797BEE" w:rsidR="003A402E" w:rsidRPr="00E862B3" w:rsidRDefault="003A402E" w:rsidP="003A402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E862B3">
              <w:rPr>
                <w:rFonts w:ascii="Verdana" w:eastAsia="Times New Roman" w:hAnsi="Verdana"/>
                <w:sz w:val="20"/>
                <w:szCs w:val="20"/>
              </w:rPr>
              <w:t>9.1%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0D480E49" w14:textId="1D545555" w:rsidR="003A402E" w:rsidRPr="00E862B3" w:rsidRDefault="003A402E" w:rsidP="003A402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E862B3">
              <w:rPr>
                <w:rFonts w:ascii="Verdana" w:eastAsia="Times New Roman" w:hAnsi="Verdana"/>
                <w:sz w:val="20"/>
                <w:szCs w:val="20"/>
              </w:rPr>
              <w:t>147</w:t>
            </w:r>
          </w:p>
        </w:tc>
      </w:tr>
      <w:tr w:rsidR="003A402E" w:rsidRPr="00E862B3" w14:paraId="4FD8D482" w14:textId="77777777" w:rsidTr="003A402E">
        <w:trPr>
          <w:trHeight w:val="244"/>
          <w:jc w:val="center"/>
        </w:trPr>
        <w:tc>
          <w:tcPr>
            <w:tcW w:w="307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018C410B" w14:textId="6971E071" w:rsidR="003A402E" w:rsidRPr="00E862B3" w:rsidRDefault="003A402E" w:rsidP="003A402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 w:rsidRPr="00E862B3">
              <w:rPr>
                <w:rFonts w:ascii="Verdana" w:eastAsia="Times New Roman" w:hAnsi="Verdana"/>
                <w:sz w:val="20"/>
                <w:szCs w:val="20"/>
              </w:rPr>
              <w:t>Craigslist.org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18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A7F45F" w14:textId="51A4B02A" w:rsidR="003A402E" w:rsidRPr="00E862B3" w:rsidRDefault="003A402E" w:rsidP="003A402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E862B3">
              <w:rPr>
                <w:rFonts w:ascii="Verdana" w:eastAsia="Times New Roman" w:hAnsi="Verdana"/>
                <w:sz w:val="20"/>
                <w:szCs w:val="20"/>
              </w:rPr>
              <w:t>8.0%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5256D540" w14:textId="191E4CB1" w:rsidR="003A402E" w:rsidRPr="00E862B3" w:rsidRDefault="003A402E" w:rsidP="003A402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E862B3">
              <w:rPr>
                <w:rFonts w:ascii="Verdana" w:eastAsia="Times New Roman" w:hAnsi="Verdana"/>
                <w:sz w:val="20"/>
                <w:szCs w:val="20"/>
              </w:rPr>
              <w:t>161</w:t>
            </w:r>
          </w:p>
        </w:tc>
      </w:tr>
    </w:tbl>
    <w:p w14:paraId="4C5D5BEA" w14:textId="43D2D09E" w:rsidR="008D2FA3" w:rsidRPr="00E862B3" w:rsidRDefault="003A402E" w:rsidP="003A402E">
      <w:pPr>
        <w:pStyle w:val="NoSpacing"/>
        <w:tabs>
          <w:tab w:val="left" w:pos="2070"/>
        </w:tabs>
        <w:contextualSpacing/>
        <w:rPr>
          <w:rFonts w:ascii="Verdana" w:hAnsi="Verdana"/>
          <w:sz w:val="16"/>
          <w:szCs w:val="16"/>
        </w:rPr>
      </w:pPr>
      <w:r w:rsidRPr="00E862B3">
        <w:rPr>
          <w:rFonts w:ascii="Verdana" w:hAnsi="Verdana"/>
          <w:sz w:val="16"/>
          <w:szCs w:val="16"/>
        </w:rPr>
        <w:tab/>
      </w:r>
      <w:r w:rsidR="008D2FA3" w:rsidRPr="00E862B3">
        <w:rPr>
          <w:rFonts w:ascii="Verdana" w:hAnsi="Verdana"/>
          <w:sz w:val="16"/>
          <w:szCs w:val="16"/>
        </w:rPr>
        <w:t>Based on The Media Audit’s Rolling Aggregate Survey, February 201</w:t>
      </w:r>
      <w:r w:rsidRPr="00E862B3">
        <w:rPr>
          <w:rFonts w:ascii="Verdana" w:hAnsi="Verdana"/>
          <w:sz w:val="16"/>
          <w:szCs w:val="16"/>
        </w:rPr>
        <w:t>9</w:t>
      </w:r>
      <w:r w:rsidR="008D2FA3" w:rsidRPr="00E862B3">
        <w:rPr>
          <w:rFonts w:ascii="Verdana" w:hAnsi="Verdana"/>
          <w:sz w:val="16"/>
          <w:szCs w:val="16"/>
        </w:rPr>
        <w:t xml:space="preserve"> </w:t>
      </w:r>
    </w:p>
    <w:p w14:paraId="137D2729" w14:textId="77777777" w:rsidR="001608F3" w:rsidRPr="00E862B3" w:rsidRDefault="001608F3" w:rsidP="00AB1210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55A16F24" w14:textId="09581729" w:rsidR="00AB1210" w:rsidRPr="00E862B3" w:rsidRDefault="00AB1210" w:rsidP="003A402E">
      <w:pPr>
        <w:spacing w:after="0" w:line="240" w:lineRule="auto"/>
        <w:contextualSpacing/>
        <w:mirrorIndents/>
        <w:jc w:val="center"/>
        <w:rPr>
          <w:rFonts w:ascii="Verdana" w:hAnsi="Verdana"/>
          <w:b/>
          <w:color w:val="0070C0"/>
          <w:sz w:val="20"/>
          <w:szCs w:val="20"/>
        </w:rPr>
      </w:pPr>
      <w:r w:rsidRPr="00E862B3">
        <w:rPr>
          <w:rFonts w:ascii="Verdana" w:hAnsi="Verdana"/>
          <w:b/>
          <w:color w:val="0070C0"/>
          <w:sz w:val="20"/>
          <w:szCs w:val="20"/>
        </w:rPr>
        <w:t>Consumer Options: Rentals and Subscriptions</w:t>
      </w:r>
    </w:p>
    <w:p w14:paraId="2D319F2E" w14:textId="77777777" w:rsidR="00AB1210" w:rsidRPr="00E862B3" w:rsidRDefault="00AB1210" w:rsidP="00AB1210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7881425A" w14:textId="3BC510E4" w:rsidR="00F94CE8" w:rsidRPr="00E862B3" w:rsidRDefault="0015046A" w:rsidP="00B364FE">
      <w:pPr>
        <w:pStyle w:val="NoSpacing"/>
        <w:numPr>
          <w:ilvl w:val="0"/>
          <w:numId w:val="7"/>
        </w:numPr>
        <w:contextualSpacing/>
        <w:mirrorIndents/>
        <w:rPr>
          <w:rFonts w:ascii="Verdana" w:hAnsi="Verdana"/>
          <w:sz w:val="20"/>
          <w:szCs w:val="20"/>
        </w:rPr>
      </w:pPr>
      <w:r w:rsidRPr="00E862B3">
        <w:rPr>
          <w:rFonts w:ascii="Verdana" w:hAnsi="Verdana"/>
          <w:sz w:val="20"/>
          <w:szCs w:val="20"/>
        </w:rPr>
        <w:t>The furniture rent</w:t>
      </w:r>
      <w:r w:rsidR="00EB6340" w:rsidRPr="00E862B3">
        <w:rPr>
          <w:rFonts w:ascii="Verdana" w:hAnsi="Verdana"/>
          <w:sz w:val="20"/>
          <w:szCs w:val="20"/>
        </w:rPr>
        <w:t>al</w:t>
      </w:r>
      <w:r w:rsidRPr="00E862B3">
        <w:rPr>
          <w:rFonts w:ascii="Verdana" w:hAnsi="Verdana"/>
          <w:sz w:val="20"/>
          <w:szCs w:val="20"/>
        </w:rPr>
        <w:t xml:space="preserve"> market has been active for many years, primarily Cort Furniture Rental and Rent-A-Center; however, they have a target audience quite different from the audience for the newer, “disrupter” furniture rental companies.</w:t>
      </w:r>
    </w:p>
    <w:p w14:paraId="11DB62D2" w14:textId="77777777" w:rsidR="00F94CE8" w:rsidRPr="00E862B3" w:rsidRDefault="00F94CE8" w:rsidP="00AB1210">
      <w:pPr>
        <w:pStyle w:val="NoSpacing"/>
        <w:contextualSpacing/>
        <w:mirrorIndents/>
        <w:rPr>
          <w:rFonts w:ascii="Verdana" w:hAnsi="Verdana"/>
          <w:sz w:val="20"/>
          <w:szCs w:val="20"/>
        </w:rPr>
      </w:pPr>
    </w:p>
    <w:p w14:paraId="286AC9F6" w14:textId="1A73C24C" w:rsidR="00F94CE8" w:rsidRPr="00E862B3" w:rsidRDefault="0015046A" w:rsidP="0015046A">
      <w:pPr>
        <w:pStyle w:val="NoSpacing"/>
        <w:numPr>
          <w:ilvl w:val="0"/>
          <w:numId w:val="7"/>
        </w:numPr>
        <w:contextualSpacing/>
        <w:mirrorIndents/>
        <w:rPr>
          <w:rFonts w:ascii="Verdana" w:hAnsi="Verdana"/>
          <w:sz w:val="20"/>
          <w:szCs w:val="20"/>
        </w:rPr>
      </w:pPr>
      <w:r w:rsidRPr="00E862B3">
        <w:rPr>
          <w:rFonts w:ascii="Verdana" w:hAnsi="Verdana"/>
          <w:sz w:val="20"/>
          <w:szCs w:val="20"/>
        </w:rPr>
        <w:t xml:space="preserve">Millennials (who else!) </w:t>
      </w:r>
      <w:r w:rsidR="00EB6340" w:rsidRPr="00E862B3">
        <w:rPr>
          <w:rFonts w:ascii="Verdana" w:hAnsi="Verdana"/>
          <w:sz w:val="20"/>
          <w:szCs w:val="20"/>
        </w:rPr>
        <w:t>are</w:t>
      </w:r>
      <w:r w:rsidRPr="00E862B3">
        <w:rPr>
          <w:rFonts w:ascii="Verdana" w:hAnsi="Verdana"/>
          <w:sz w:val="20"/>
          <w:szCs w:val="20"/>
        </w:rPr>
        <w:t xml:space="preserve"> driving this new market with their “non-ownership” lifestyle attitude. Not only has Fernish and DTC brand Feather entered this market, but also West Elm and Ikea, which will begin leasing furniture in 30 more markets. </w:t>
      </w:r>
    </w:p>
    <w:p w14:paraId="23D2BAA2" w14:textId="77777777" w:rsidR="00F94CE8" w:rsidRPr="00E862B3" w:rsidRDefault="00F94CE8" w:rsidP="00AB1210">
      <w:pPr>
        <w:pStyle w:val="NoSpacing"/>
        <w:contextualSpacing/>
        <w:mirrorIndents/>
        <w:rPr>
          <w:rFonts w:ascii="Verdana" w:hAnsi="Verdana"/>
          <w:sz w:val="20"/>
          <w:szCs w:val="20"/>
        </w:rPr>
      </w:pPr>
    </w:p>
    <w:p w14:paraId="664EB1A4" w14:textId="346980BC" w:rsidR="00F94CE8" w:rsidRPr="00E862B3" w:rsidRDefault="0015046A" w:rsidP="0015046A">
      <w:pPr>
        <w:pStyle w:val="NoSpacing"/>
        <w:numPr>
          <w:ilvl w:val="0"/>
          <w:numId w:val="7"/>
        </w:numPr>
        <w:contextualSpacing/>
        <w:mirrorIndents/>
        <w:rPr>
          <w:rFonts w:ascii="Verdana" w:hAnsi="Verdana"/>
          <w:sz w:val="20"/>
          <w:szCs w:val="20"/>
        </w:rPr>
      </w:pPr>
      <w:r w:rsidRPr="00E862B3">
        <w:rPr>
          <w:rFonts w:ascii="Verdana" w:hAnsi="Verdana"/>
          <w:sz w:val="20"/>
          <w:szCs w:val="20"/>
        </w:rPr>
        <w:t>Furniture subscription services are even newer. Companies, such as The Everset, in New York City, is one of the first, offering furniture sets for $20 to $150</w:t>
      </w:r>
      <w:r w:rsidR="00EB6340" w:rsidRPr="00E862B3">
        <w:rPr>
          <w:rFonts w:ascii="Verdana" w:hAnsi="Verdana"/>
          <w:sz w:val="20"/>
          <w:szCs w:val="20"/>
        </w:rPr>
        <w:t>/</w:t>
      </w:r>
      <w:r w:rsidRPr="00E862B3">
        <w:rPr>
          <w:rFonts w:ascii="Verdana" w:hAnsi="Verdana"/>
          <w:sz w:val="20"/>
          <w:szCs w:val="20"/>
        </w:rPr>
        <w:t xml:space="preserve">month and contracts of three to 14 months. </w:t>
      </w:r>
    </w:p>
    <w:p w14:paraId="7401C3C8" w14:textId="77777777" w:rsidR="00F94CE8" w:rsidRPr="00E862B3" w:rsidRDefault="00F94CE8" w:rsidP="00AB1210">
      <w:pPr>
        <w:pStyle w:val="NoSpacing"/>
        <w:contextualSpacing/>
        <w:mirrorIndents/>
        <w:rPr>
          <w:rFonts w:ascii="Verdana" w:hAnsi="Verdana"/>
          <w:sz w:val="20"/>
          <w:szCs w:val="20"/>
        </w:rPr>
      </w:pPr>
    </w:p>
    <w:p w14:paraId="02C0BC62" w14:textId="77777777" w:rsidR="00F94CE8" w:rsidRPr="00E862B3" w:rsidRDefault="00F94CE8" w:rsidP="00AB1210">
      <w:pPr>
        <w:pStyle w:val="NoSpacing"/>
        <w:contextualSpacing/>
        <w:mirrorIndents/>
        <w:rPr>
          <w:rFonts w:ascii="Verdana" w:hAnsi="Verdana"/>
          <w:sz w:val="20"/>
          <w:szCs w:val="20"/>
        </w:rPr>
      </w:pPr>
    </w:p>
    <w:p w14:paraId="37079E4B" w14:textId="77777777" w:rsidR="00F94CE8" w:rsidRPr="00E862B3" w:rsidRDefault="00F94CE8" w:rsidP="00AB1210">
      <w:pPr>
        <w:pStyle w:val="NoSpacing"/>
        <w:contextualSpacing/>
        <w:mirrorIndents/>
        <w:rPr>
          <w:rFonts w:ascii="Verdana" w:hAnsi="Verdana"/>
          <w:sz w:val="20"/>
          <w:szCs w:val="20"/>
        </w:rPr>
      </w:pPr>
    </w:p>
    <w:p w14:paraId="3A5080E9" w14:textId="77777777" w:rsidR="00F94CE8" w:rsidRPr="00E862B3" w:rsidRDefault="00F94CE8" w:rsidP="00AB1210">
      <w:pPr>
        <w:pStyle w:val="NoSpacing"/>
        <w:contextualSpacing/>
        <w:mirrorIndents/>
        <w:rPr>
          <w:rFonts w:ascii="Verdana" w:hAnsi="Verdana"/>
          <w:sz w:val="20"/>
          <w:szCs w:val="20"/>
        </w:rPr>
      </w:pPr>
    </w:p>
    <w:p w14:paraId="3D6E3712" w14:textId="77777777" w:rsidR="00F94CE8" w:rsidRPr="00E862B3" w:rsidRDefault="00F94CE8" w:rsidP="00AB1210">
      <w:pPr>
        <w:pStyle w:val="NoSpacing"/>
        <w:contextualSpacing/>
        <w:mirrorIndents/>
        <w:rPr>
          <w:rFonts w:ascii="Verdana" w:hAnsi="Verdana"/>
          <w:sz w:val="20"/>
          <w:szCs w:val="20"/>
        </w:rPr>
      </w:pPr>
    </w:p>
    <w:p w14:paraId="484391DE" w14:textId="77777777" w:rsidR="00F94CE8" w:rsidRPr="00E862B3" w:rsidRDefault="00F94CE8" w:rsidP="00AB1210">
      <w:pPr>
        <w:pStyle w:val="NoSpacing"/>
        <w:contextualSpacing/>
        <w:mirrorIndents/>
        <w:rPr>
          <w:rFonts w:ascii="Verdana" w:hAnsi="Verdana"/>
          <w:sz w:val="20"/>
          <w:szCs w:val="20"/>
        </w:rPr>
      </w:pPr>
    </w:p>
    <w:p w14:paraId="633FD3CD" w14:textId="77777777" w:rsidR="00F94CE8" w:rsidRPr="00E862B3" w:rsidRDefault="00F94CE8" w:rsidP="00AB1210">
      <w:pPr>
        <w:pStyle w:val="NoSpacing"/>
        <w:contextualSpacing/>
        <w:mirrorIndents/>
        <w:rPr>
          <w:rFonts w:ascii="Verdana" w:hAnsi="Verdana"/>
          <w:sz w:val="20"/>
          <w:szCs w:val="20"/>
        </w:rPr>
      </w:pPr>
    </w:p>
    <w:p w14:paraId="05B35E5D" w14:textId="6347A1B9" w:rsidR="00F94CE8" w:rsidRPr="00E862B3" w:rsidRDefault="00F94CE8" w:rsidP="00544819">
      <w:pPr>
        <w:spacing w:after="0" w:line="240" w:lineRule="auto"/>
        <w:contextualSpacing/>
        <w:mirrorIndents/>
        <w:jc w:val="center"/>
        <w:rPr>
          <w:rFonts w:ascii="Verdana" w:hAnsi="Verdana"/>
          <w:sz w:val="20"/>
          <w:szCs w:val="20"/>
        </w:rPr>
      </w:pPr>
      <w:r w:rsidRPr="00E862B3">
        <w:rPr>
          <w:b/>
          <w:color w:val="0070C0"/>
          <w:sz w:val="20"/>
          <w:szCs w:val="20"/>
        </w:rPr>
        <w:lastRenderedPageBreak/>
        <w:t>Additional Analysis</w:t>
      </w:r>
    </w:p>
    <w:p w14:paraId="4D37D21A" w14:textId="77777777" w:rsidR="00F94CE8" w:rsidRPr="00E862B3" w:rsidRDefault="00F94CE8" w:rsidP="00F94CE8">
      <w:pPr>
        <w:pStyle w:val="NoSpacing"/>
        <w:contextualSpacing/>
        <w:rPr>
          <w:sz w:val="20"/>
          <w:szCs w:val="20"/>
        </w:rPr>
      </w:pPr>
    </w:p>
    <w:p w14:paraId="718411C0" w14:textId="0D021D42" w:rsidR="00F94CE8" w:rsidRPr="00E862B3" w:rsidRDefault="00E637E9" w:rsidP="00F94CE8">
      <w:pPr>
        <w:pStyle w:val="NoSpacing"/>
        <w:contextualSpacing/>
        <w:rPr>
          <w:sz w:val="20"/>
          <w:szCs w:val="20"/>
        </w:rPr>
      </w:pPr>
      <w:r w:rsidRPr="00E862B3">
        <w:rPr>
          <w:i/>
          <w:sz w:val="20"/>
          <w:szCs w:val="20"/>
        </w:rPr>
        <w:t>Furniture Today</w:t>
      </w:r>
      <w:r w:rsidRPr="00E862B3">
        <w:rPr>
          <w:sz w:val="20"/>
          <w:szCs w:val="20"/>
        </w:rPr>
        <w:t xml:space="preserve"> is very protective of its data</w:t>
      </w:r>
      <w:r w:rsidR="00BC26C0" w:rsidRPr="00E862B3">
        <w:rPr>
          <w:sz w:val="20"/>
          <w:szCs w:val="20"/>
        </w:rPr>
        <w:t xml:space="preserve">, especially its annual Top 100 US Furniture Stores report. It has release a sprinkling of data and insights that could </w:t>
      </w:r>
      <w:r w:rsidR="00DA65FB" w:rsidRPr="00E862B3">
        <w:rPr>
          <w:sz w:val="20"/>
          <w:szCs w:val="20"/>
        </w:rPr>
        <w:t xml:space="preserve">be </w:t>
      </w:r>
      <w:r w:rsidR="00BC26C0" w:rsidRPr="00E862B3">
        <w:rPr>
          <w:sz w:val="20"/>
          <w:szCs w:val="20"/>
        </w:rPr>
        <w:t xml:space="preserve">valuable to your prospects and clients. </w:t>
      </w:r>
    </w:p>
    <w:p w14:paraId="72A9D893" w14:textId="77777777" w:rsidR="00F94CE8" w:rsidRPr="00E862B3" w:rsidRDefault="00F94CE8" w:rsidP="00F94CE8">
      <w:pPr>
        <w:pStyle w:val="NoSpacing"/>
        <w:contextualSpacing/>
        <w:rPr>
          <w:sz w:val="20"/>
          <w:szCs w:val="20"/>
        </w:rPr>
      </w:pPr>
    </w:p>
    <w:p w14:paraId="78E679E8" w14:textId="27F23FA2" w:rsidR="00F94CE8" w:rsidRPr="00E862B3" w:rsidRDefault="00BC26C0" w:rsidP="00BC26C0">
      <w:pPr>
        <w:pStyle w:val="NoSpacing"/>
        <w:numPr>
          <w:ilvl w:val="0"/>
          <w:numId w:val="8"/>
        </w:numPr>
        <w:contextualSpacing/>
        <w:rPr>
          <w:sz w:val="20"/>
          <w:szCs w:val="20"/>
        </w:rPr>
      </w:pPr>
      <w:r w:rsidRPr="00E862B3">
        <w:rPr>
          <w:sz w:val="20"/>
          <w:szCs w:val="20"/>
        </w:rPr>
        <w:t>The Top 100 stores accounted for 40% of 2018 sales through brick-and-mortar stores, but 78% of 2018 sales via all distribution channels.</w:t>
      </w:r>
    </w:p>
    <w:p w14:paraId="3CDFB8E2" w14:textId="77777777" w:rsidR="00F94CE8" w:rsidRPr="00E862B3" w:rsidRDefault="00F94CE8" w:rsidP="00F94CE8">
      <w:pPr>
        <w:pStyle w:val="NoSpacing"/>
        <w:contextualSpacing/>
        <w:rPr>
          <w:sz w:val="20"/>
          <w:szCs w:val="20"/>
        </w:rPr>
      </w:pPr>
    </w:p>
    <w:p w14:paraId="6DC49CD3" w14:textId="11280830" w:rsidR="00F94CE8" w:rsidRPr="00E862B3" w:rsidRDefault="00BC26C0" w:rsidP="00BC26C0">
      <w:pPr>
        <w:pStyle w:val="NoSpacing"/>
        <w:numPr>
          <w:ilvl w:val="0"/>
          <w:numId w:val="8"/>
        </w:numPr>
        <w:contextualSpacing/>
        <w:rPr>
          <w:sz w:val="20"/>
          <w:szCs w:val="20"/>
        </w:rPr>
      </w:pPr>
      <w:r w:rsidRPr="00E862B3">
        <w:rPr>
          <w:sz w:val="20"/>
          <w:szCs w:val="20"/>
        </w:rPr>
        <w:t xml:space="preserve">Sales at small furniture stores increased 6.8% during 2018, compared to 4.4% for the entire market (according to </w:t>
      </w:r>
      <w:r w:rsidRPr="00E862B3">
        <w:rPr>
          <w:i/>
          <w:sz w:val="20"/>
          <w:szCs w:val="20"/>
        </w:rPr>
        <w:t>Furniture Today</w:t>
      </w:r>
      <w:r w:rsidRPr="00E862B3">
        <w:rPr>
          <w:sz w:val="20"/>
          <w:szCs w:val="20"/>
        </w:rPr>
        <w:t>’s statistics and calculations).</w:t>
      </w:r>
    </w:p>
    <w:p w14:paraId="47CEE2F1" w14:textId="77777777" w:rsidR="00BC26C0" w:rsidRPr="00E862B3" w:rsidRDefault="00BC26C0" w:rsidP="00BC26C0">
      <w:pPr>
        <w:pStyle w:val="NoSpacing"/>
        <w:ind w:left="360"/>
        <w:contextualSpacing/>
        <w:rPr>
          <w:sz w:val="20"/>
          <w:szCs w:val="20"/>
        </w:rPr>
      </w:pPr>
    </w:p>
    <w:p w14:paraId="7A39A97D" w14:textId="349F104B" w:rsidR="00BC26C0" w:rsidRPr="00E862B3" w:rsidRDefault="00BC26C0" w:rsidP="00BC26C0">
      <w:pPr>
        <w:pStyle w:val="NoSpacing"/>
        <w:numPr>
          <w:ilvl w:val="0"/>
          <w:numId w:val="8"/>
        </w:numPr>
        <w:contextualSpacing/>
        <w:rPr>
          <w:sz w:val="20"/>
          <w:szCs w:val="20"/>
        </w:rPr>
      </w:pPr>
      <w:r w:rsidRPr="00E862B3">
        <w:rPr>
          <w:sz w:val="20"/>
          <w:szCs w:val="20"/>
        </w:rPr>
        <w:t>Sales at conventional furniture stores in the Top 100 increased 4.4% during 2018, compared to a 1.9% increase for specialty store chains.</w:t>
      </w:r>
    </w:p>
    <w:p w14:paraId="2AC14BFB" w14:textId="32AFE28E" w:rsidR="00F94CE8" w:rsidRPr="00E862B3" w:rsidRDefault="00F94CE8" w:rsidP="00F94CE8">
      <w:pPr>
        <w:pStyle w:val="NoSpacing"/>
        <w:contextualSpacing/>
        <w:rPr>
          <w:sz w:val="20"/>
          <w:szCs w:val="20"/>
        </w:rPr>
      </w:pPr>
    </w:p>
    <w:p w14:paraId="20931F8E" w14:textId="196973EA" w:rsidR="00BC26C0" w:rsidRPr="00E862B3" w:rsidRDefault="00BC26C0" w:rsidP="00F94CE8">
      <w:pPr>
        <w:pStyle w:val="NoSpacing"/>
        <w:contextualSpacing/>
        <w:rPr>
          <w:rFonts w:ascii="Verdana" w:eastAsia="Times New Roman" w:hAnsi="Verdana"/>
          <w:sz w:val="20"/>
          <w:szCs w:val="20"/>
        </w:rPr>
      </w:pPr>
      <w:r w:rsidRPr="00E862B3">
        <w:rPr>
          <w:sz w:val="20"/>
          <w:szCs w:val="20"/>
        </w:rPr>
        <w:t>Additional data from The Media Audit’s 2019 Aggregate Report reveals media exposure for adults 18+ and adults 25</w:t>
      </w:r>
      <w:r w:rsidRPr="00E862B3">
        <w:rPr>
          <w:rFonts w:ascii="Verdana" w:eastAsia="Times New Roman" w:hAnsi="Verdana"/>
          <w:sz w:val="20"/>
          <w:szCs w:val="20"/>
        </w:rPr>
        <w:t>–44 who plan to buy furniture during the next 12 months.</w:t>
      </w:r>
    </w:p>
    <w:p w14:paraId="7D908556" w14:textId="77777777" w:rsidR="00BC26C0" w:rsidRPr="00E862B3" w:rsidRDefault="00BC26C0" w:rsidP="00F94CE8">
      <w:pPr>
        <w:pStyle w:val="NoSpacing"/>
        <w:contextualSpacing/>
        <w:rPr>
          <w:sz w:val="20"/>
          <w:szCs w:val="20"/>
        </w:rPr>
      </w:pPr>
    </w:p>
    <w:p w14:paraId="3E9234B6" w14:textId="77777777" w:rsidR="00BC26C0" w:rsidRPr="00E862B3" w:rsidRDefault="00BC26C0" w:rsidP="00BC26C0">
      <w:pPr>
        <w:pStyle w:val="Header"/>
        <w:contextualSpacing/>
        <w:jc w:val="center"/>
        <w:rPr>
          <w:rFonts w:ascii="Verdana" w:hAnsi="Verdana"/>
          <w:b/>
          <w:sz w:val="20"/>
          <w:szCs w:val="20"/>
        </w:rPr>
      </w:pPr>
      <w:r w:rsidRPr="00E862B3">
        <w:rPr>
          <w:rFonts w:ascii="Verdana" w:hAnsi="Verdana"/>
          <w:b/>
          <w:sz w:val="20"/>
          <w:szCs w:val="20"/>
        </w:rPr>
        <w:t xml:space="preserve">Media Exposure for Adults 18+ and </w:t>
      </w:r>
      <w:r w:rsidRPr="00E862B3">
        <w:rPr>
          <w:b/>
          <w:sz w:val="20"/>
          <w:szCs w:val="20"/>
        </w:rPr>
        <w:t>Adults 25</w:t>
      </w:r>
      <w:r w:rsidRPr="00E862B3">
        <w:rPr>
          <w:rFonts w:ascii="Verdana" w:hAnsi="Verdana"/>
          <w:b/>
          <w:sz w:val="20"/>
          <w:szCs w:val="20"/>
        </w:rPr>
        <w:t xml:space="preserve">–44 Who Plan to Buy </w:t>
      </w:r>
    </w:p>
    <w:p w14:paraId="0D0528C8" w14:textId="7DA572A7" w:rsidR="003B2FD1" w:rsidRPr="00E862B3" w:rsidRDefault="00BC26C0" w:rsidP="003B2FD1">
      <w:pPr>
        <w:pStyle w:val="Header"/>
        <w:contextualSpacing/>
        <w:jc w:val="center"/>
        <w:rPr>
          <w:rFonts w:ascii="Verdana" w:hAnsi="Verdana"/>
          <w:b/>
          <w:sz w:val="20"/>
          <w:szCs w:val="20"/>
        </w:rPr>
      </w:pPr>
      <w:r w:rsidRPr="00E862B3">
        <w:rPr>
          <w:rFonts w:ascii="Verdana" w:hAnsi="Verdana"/>
          <w:b/>
          <w:sz w:val="20"/>
          <w:szCs w:val="20"/>
        </w:rPr>
        <w:t>New Furniture During the Next 12 Months, February 2019</w:t>
      </w:r>
    </w:p>
    <w:tbl>
      <w:tblPr>
        <w:tblW w:w="9077" w:type="dxa"/>
        <w:jc w:val="center"/>
        <w:tblBorders>
          <w:top w:val="single" w:sz="8" w:space="0" w:color="000000"/>
          <w:left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74"/>
        <w:gridCol w:w="1083"/>
        <w:gridCol w:w="1060"/>
        <w:gridCol w:w="1108"/>
        <w:gridCol w:w="1052"/>
      </w:tblGrid>
      <w:tr w:rsidR="003B2FD1" w:rsidRPr="00E862B3" w14:paraId="794D0195" w14:textId="77777777" w:rsidTr="003B2FD1">
        <w:trPr>
          <w:trHeight w:val="285"/>
          <w:jc w:val="center"/>
        </w:trPr>
        <w:tc>
          <w:tcPr>
            <w:tcW w:w="47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19FA4020" w14:textId="2962D59F" w:rsidR="003B2FD1" w:rsidRPr="00E862B3" w:rsidRDefault="003B2FD1" w:rsidP="005E5DD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E862B3">
              <w:rPr>
                <w:rFonts w:eastAsia="Times New Roman"/>
                <w:sz w:val="20"/>
                <w:szCs w:val="20"/>
              </w:rPr>
              <w:t>Media Exposure</w:t>
            </w:r>
          </w:p>
        </w:tc>
        <w:tc>
          <w:tcPr>
            <w:tcW w:w="2143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07AB955" w14:textId="5E0A7DF9" w:rsidR="003B2FD1" w:rsidRPr="00E862B3" w:rsidRDefault="003B2FD1" w:rsidP="005E5DD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E862B3">
              <w:rPr>
                <w:rFonts w:eastAsia="Times New Roman"/>
                <w:sz w:val="20"/>
                <w:szCs w:val="20"/>
              </w:rPr>
              <w:t>Adults 18+</w:t>
            </w:r>
          </w:p>
        </w:tc>
        <w:tc>
          <w:tcPr>
            <w:tcW w:w="21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F24C413" w14:textId="18BC1D09" w:rsidR="003B2FD1" w:rsidRPr="00E862B3" w:rsidRDefault="003B2FD1" w:rsidP="005E5DD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E862B3">
              <w:rPr>
                <w:rFonts w:eastAsia="Times New Roman"/>
                <w:sz w:val="20"/>
                <w:szCs w:val="20"/>
              </w:rPr>
              <w:t xml:space="preserve">Adults </w:t>
            </w:r>
            <w:r w:rsidRPr="00E862B3">
              <w:rPr>
                <w:sz w:val="20"/>
                <w:szCs w:val="20"/>
              </w:rPr>
              <w:t>25</w:t>
            </w:r>
            <w:r w:rsidRPr="00E862B3">
              <w:rPr>
                <w:rFonts w:ascii="Verdana" w:eastAsia="Times New Roman" w:hAnsi="Verdana"/>
                <w:sz w:val="20"/>
                <w:szCs w:val="20"/>
              </w:rPr>
              <w:t>–44</w:t>
            </w:r>
          </w:p>
        </w:tc>
      </w:tr>
      <w:tr w:rsidR="003B2FD1" w:rsidRPr="00E862B3" w14:paraId="153BDE0B" w14:textId="77777777" w:rsidTr="003B2FD1">
        <w:tblPrEx>
          <w:tblBorders>
            <w:top w:val="none" w:sz="0" w:space="0" w:color="auto"/>
          </w:tblBorders>
        </w:tblPrEx>
        <w:trPr>
          <w:trHeight w:val="198"/>
          <w:jc w:val="center"/>
        </w:trPr>
        <w:tc>
          <w:tcPr>
            <w:tcW w:w="477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A42B827" w14:textId="77777777" w:rsidR="003B2FD1" w:rsidRPr="00E862B3" w:rsidRDefault="003B2FD1" w:rsidP="005E5DD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0C9F6FEF" w14:textId="77777777" w:rsidR="003B2FD1" w:rsidRPr="00E862B3" w:rsidRDefault="003B2FD1" w:rsidP="003B2FD1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E862B3">
              <w:rPr>
                <w:rFonts w:eastAsia="Times New Roman"/>
                <w:sz w:val="20"/>
                <w:szCs w:val="20"/>
              </w:rPr>
              <w:t>Percent</w:t>
            </w:r>
          </w:p>
        </w:tc>
        <w:tc>
          <w:tcPr>
            <w:tcW w:w="106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5B95ED67" w14:textId="77777777" w:rsidR="003B2FD1" w:rsidRPr="00E862B3" w:rsidRDefault="003B2FD1" w:rsidP="003B2FD1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E862B3">
              <w:rPr>
                <w:rFonts w:eastAsia="Times New Roman"/>
                <w:sz w:val="20"/>
                <w:szCs w:val="20"/>
              </w:rPr>
              <w:t>Index</w:t>
            </w:r>
          </w:p>
        </w:tc>
        <w:tc>
          <w:tcPr>
            <w:tcW w:w="1108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21C1707F" w14:textId="77777777" w:rsidR="003B2FD1" w:rsidRPr="00E862B3" w:rsidRDefault="003B2FD1" w:rsidP="003B2FD1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E862B3">
              <w:rPr>
                <w:rFonts w:eastAsia="Times New Roman"/>
                <w:sz w:val="20"/>
                <w:szCs w:val="20"/>
              </w:rPr>
              <w:t>Percent</w:t>
            </w:r>
          </w:p>
        </w:tc>
        <w:tc>
          <w:tcPr>
            <w:tcW w:w="1052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15057714" w14:textId="77777777" w:rsidR="003B2FD1" w:rsidRPr="00E862B3" w:rsidRDefault="003B2FD1" w:rsidP="003B2FD1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E862B3">
              <w:rPr>
                <w:rFonts w:eastAsia="Times New Roman"/>
                <w:sz w:val="20"/>
                <w:szCs w:val="20"/>
              </w:rPr>
              <w:t>Index</w:t>
            </w:r>
          </w:p>
        </w:tc>
      </w:tr>
      <w:tr w:rsidR="003B2FD1" w:rsidRPr="00E862B3" w14:paraId="6CE5465F" w14:textId="77777777" w:rsidTr="00E862B3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4774" w:type="dxa"/>
            <w:tcBorders>
              <w:top w:val="single" w:sz="18" w:space="0" w:color="000000"/>
              <w:left w:val="single" w:sz="12" w:space="0" w:color="000000"/>
              <w:bottom w:val="single" w:sz="4" w:space="0" w:color="000000"/>
              <w:right w:val="single" w:sz="18" w:space="0" w:color="000000"/>
            </w:tcBorders>
            <w:shd w:val="clear" w:color="auto" w:fill="EAF1DD" w:themeFill="accent3" w:themeFillTint="33"/>
            <w:vAlign w:val="center"/>
          </w:tcPr>
          <w:p w14:paraId="34C20937" w14:textId="3EBA498E" w:rsidR="003B2FD1" w:rsidRPr="00E862B3" w:rsidRDefault="003B2FD1" w:rsidP="005E5DD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 w:rsidRPr="00E862B3">
              <w:rPr>
                <w:rFonts w:ascii="Verdana" w:eastAsia="Times New Roman" w:hAnsi="Verdana"/>
                <w:sz w:val="20"/>
                <w:szCs w:val="20"/>
              </w:rPr>
              <w:t>Radio (heavy: 180+ min. avg. day)</w:t>
            </w:r>
          </w:p>
        </w:tc>
        <w:tc>
          <w:tcPr>
            <w:tcW w:w="1083" w:type="dxa"/>
            <w:tcBorders>
              <w:top w:val="single" w:sz="1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12E845D2" w14:textId="5F8F3DC7" w:rsidR="003B2FD1" w:rsidRPr="00E862B3" w:rsidRDefault="003B2FD1" w:rsidP="00E862B3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 w:rsidRPr="00E862B3">
              <w:rPr>
                <w:rFonts w:eastAsia="Times New Roman"/>
                <w:sz w:val="20"/>
                <w:szCs w:val="20"/>
              </w:rPr>
              <w:t>24.9%</w:t>
            </w:r>
          </w:p>
        </w:tc>
        <w:tc>
          <w:tcPr>
            <w:tcW w:w="1060" w:type="dxa"/>
            <w:tcBorders>
              <w:top w:val="single" w:sz="18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EAF1DD" w:themeFill="accent3" w:themeFillTint="33"/>
            <w:vAlign w:val="center"/>
          </w:tcPr>
          <w:p w14:paraId="73CB3DA9" w14:textId="3977661E" w:rsidR="003B2FD1" w:rsidRPr="00E862B3" w:rsidRDefault="003B2FD1" w:rsidP="00E862B3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 w:rsidRPr="00E862B3">
              <w:rPr>
                <w:rFonts w:eastAsia="Times New Roman"/>
                <w:sz w:val="20"/>
                <w:szCs w:val="20"/>
              </w:rPr>
              <w:t>118</w:t>
            </w:r>
          </w:p>
        </w:tc>
        <w:tc>
          <w:tcPr>
            <w:tcW w:w="1108" w:type="dxa"/>
            <w:tcBorders>
              <w:top w:val="single" w:sz="18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57097B52" w14:textId="7900EB56" w:rsidR="003B2FD1" w:rsidRPr="00E862B3" w:rsidRDefault="00956D8D" w:rsidP="00E862B3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 w:rsidRPr="00E862B3">
              <w:rPr>
                <w:rFonts w:eastAsia="Times New Roman"/>
                <w:sz w:val="20"/>
                <w:szCs w:val="20"/>
              </w:rPr>
              <w:t>29.0%</w:t>
            </w:r>
          </w:p>
        </w:tc>
        <w:tc>
          <w:tcPr>
            <w:tcW w:w="1052" w:type="dxa"/>
            <w:tcBorders>
              <w:top w:val="single" w:sz="18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EAF1DD" w:themeFill="accent3" w:themeFillTint="33"/>
            <w:vAlign w:val="center"/>
          </w:tcPr>
          <w:p w14:paraId="21CCED9B" w14:textId="3E4EAD4A" w:rsidR="003B2FD1" w:rsidRPr="00E862B3" w:rsidRDefault="00956D8D" w:rsidP="00E862B3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 w:rsidRPr="00E862B3">
              <w:rPr>
                <w:rFonts w:eastAsia="Times New Roman"/>
                <w:sz w:val="20"/>
                <w:szCs w:val="20"/>
              </w:rPr>
              <w:t>112</w:t>
            </w:r>
          </w:p>
        </w:tc>
      </w:tr>
      <w:tr w:rsidR="003B2FD1" w:rsidRPr="00E862B3" w14:paraId="2865EB4B" w14:textId="77777777" w:rsidTr="00E862B3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47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0000"/>
            </w:tcBorders>
            <w:shd w:val="clear" w:color="auto" w:fill="EAF1DD" w:themeFill="accent3" w:themeFillTint="33"/>
            <w:vAlign w:val="center"/>
          </w:tcPr>
          <w:p w14:paraId="32C9A193" w14:textId="47A29FB9" w:rsidR="003B2FD1" w:rsidRPr="00E862B3" w:rsidRDefault="003B2FD1" w:rsidP="005E5DD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 w:rsidRPr="00E862B3">
              <w:rPr>
                <w:rFonts w:ascii="Verdana" w:eastAsia="Times New Roman" w:hAnsi="Verdana"/>
                <w:sz w:val="20"/>
                <w:szCs w:val="20"/>
              </w:rPr>
              <w:t>Radio (medium: 60–179 min. avg. day)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7C485000" w14:textId="508ECD07" w:rsidR="003B2FD1" w:rsidRPr="00E862B3" w:rsidRDefault="003B2FD1" w:rsidP="00E862B3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 w:rsidRPr="00E862B3">
              <w:rPr>
                <w:rFonts w:eastAsia="Times New Roman"/>
                <w:sz w:val="20"/>
                <w:szCs w:val="20"/>
              </w:rPr>
              <w:t>42.7%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EAF1DD" w:themeFill="accent3" w:themeFillTint="33"/>
            <w:vAlign w:val="center"/>
          </w:tcPr>
          <w:p w14:paraId="7D321AC4" w14:textId="60BC6580" w:rsidR="003B2FD1" w:rsidRPr="00E862B3" w:rsidRDefault="003B2FD1" w:rsidP="00E862B3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 w:rsidRPr="00E862B3">
              <w:rPr>
                <w:rFonts w:eastAsia="Times New Roman"/>
                <w:sz w:val="20"/>
                <w:szCs w:val="20"/>
              </w:rPr>
              <w:t>115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0639BA55" w14:textId="00C2C664" w:rsidR="003B2FD1" w:rsidRPr="00E862B3" w:rsidRDefault="00956D8D" w:rsidP="00E862B3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 w:rsidRPr="00E862B3">
              <w:rPr>
                <w:rFonts w:eastAsia="Times New Roman"/>
                <w:sz w:val="20"/>
                <w:szCs w:val="20"/>
              </w:rPr>
              <w:t>43.9%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EAF1DD" w:themeFill="accent3" w:themeFillTint="33"/>
            <w:vAlign w:val="center"/>
          </w:tcPr>
          <w:p w14:paraId="6FADFC5C" w14:textId="3FD4A1DA" w:rsidR="003B2FD1" w:rsidRPr="00E862B3" w:rsidRDefault="00956D8D" w:rsidP="00E862B3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 w:rsidRPr="00E862B3">
              <w:rPr>
                <w:rFonts w:eastAsia="Times New Roman"/>
                <w:sz w:val="20"/>
                <w:szCs w:val="20"/>
              </w:rPr>
              <w:t>109</w:t>
            </w:r>
          </w:p>
        </w:tc>
      </w:tr>
      <w:tr w:rsidR="003B2FD1" w:rsidRPr="00E862B3" w14:paraId="64357EFB" w14:textId="77777777" w:rsidTr="00E862B3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47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90053BA" w14:textId="789DAD3F" w:rsidR="003B2FD1" w:rsidRPr="00E862B3" w:rsidRDefault="003B2FD1" w:rsidP="005E5DD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 w:rsidRPr="00E862B3">
              <w:rPr>
                <w:rFonts w:ascii="Verdana" w:eastAsia="Times New Roman" w:hAnsi="Verdana"/>
                <w:sz w:val="20"/>
                <w:szCs w:val="20"/>
              </w:rPr>
              <w:t>Radio (light: 1–59 min. avg. day)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9906F6" w14:textId="479A2B55" w:rsidR="003B2FD1" w:rsidRPr="00E862B3" w:rsidRDefault="003B2FD1" w:rsidP="00E862B3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 w:rsidRPr="00E862B3">
              <w:rPr>
                <w:rFonts w:eastAsia="Times New Roman"/>
                <w:sz w:val="20"/>
                <w:szCs w:val="20"/>
              </w:rPr>
              <w:t>13.4%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5ACDB3E" w14:textId="5CDC1886" w:rsidR="003B2FD1" w:rsidRPr="00E862B3" w:rsidRDefault="003B2FD1" w:rsidP="00E862B3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 w:rsidRPr="00E862B3">
              <w:rPr>
                <w:rFonts w:eastAsia="Times New Roman"/>
                <w:sz w:val="20"/>
                <w:szCs w:val="20"/>
              </w:rPr>
              <w:t>94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63A520" w14:textId="06F427D4" w:rsidR="003B2FD1" w:rsidRPr="00E862B3" w:rsidRDefault="00956D8D" w:rsidP="00E862B3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 w:rsidRPr="00E862B3">
              <w:rPr>
                <w:rFonts w:eastAsia="Times New Roman"/>
                <w:sz w:val="20"/>
                <w:szCs w:val="20"/>
              </w:rPr>
              <w:t>13.0%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0C2A107" w14:textId="66FEF325" w:rsidR="003B2FD1" w:rsidRPr="00E862B3" w:rsidRDefault="00956D8D" w:rsidP="00E862B3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 w:rsidRPr="00E862B3">
              <w:rPr>
                <w:rFonts w:eastAsia="Times New Roman"/>
                <w:sz w:val="20"/>
                <w:szCs w:val="20"/>
              </w:rPr>
              <w:t>100</w:t>
            </w:r>
          </w:p>
        </w:tc>
      </w:tr>
      <w:tr w:rsidR="003B2FD1" w:rsidRPr="00E862B3" w14:paraId="06D7522C" w14:textId="77777777" w:rsidTr="00E862B3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4774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73553FA4" w14:textId="3DABC64B" w:rsidR="003B2FD1" w:rsidRPr="00E862B3" w:rsidRDefault="003B2FD1" w:rsidP="005E5DD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 w:rsidRPr="00E862B3">
              <w:rPr>
                <w:rFonts w:ascii="Verdana" w:eastAsia="Times New Roman" w:hAnsi="Verdana"/>
                <w:sz w:val="20"/>
                <w:szCs w:val="20"/>
              </w:rPr>
              <w:t>Radio (no exposure)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8777C54" w14:textId="57FABB3F" w:rsidR="003B2FD1" w:rsidRPr="00E862B3" w:rsidRDefault="003B2FD1" w:rsidP="00E862B3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 w:rsidRPr="00E862B3">
              <w:rPr>
                <w:rFonts w:eastAsia="Times New Roman"/>
                <w:sz w:val="20"/>
                <w:szCs w:val="20"/>
              </w:rPr>
              <w:t>19.0%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8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0AE95ED6" w14:textId="795F8140" w:rsidR="003B2FD1" w:rsidRPr="00E862B3" w:rsidRDefault="003B2FD1" w:rsidP="00E862B3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 w:rsidRPr="00E862B3">
              <w:rPr>
                <w:rFonts w:eastAsia="Times New Roman"/>
                <w:sz w:val="20"/>
                <w:szCs w:val="20"/>
              </w:rPr>
              <w:t>69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5E7F3B0" w14:textId="28AC4B47" w:rsidR="003B2FD1" w:rsidRPr="00E862B3" w:rsidRDefault="00956D8D" w:rsidP="00E862B3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 w:rsidRPr="00E862B3">
              <w:rPr>
                <w:rFonts w:eastAsia="Times New Roman"/>
                <w:sz w:val="20"/>
                <w:szCs w:val="20"/>
              </w:rPr>
              <w:t>14.1%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8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1E7C6667" w14:textId="05EFEF64" w:rsidR="003B2FD1" w:rsidRPr="00E862B3" w:rsidRDefault="00956D8D" w:rsidP="00E862B3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 w:rsidRPr="00E862B3">
              <w:rPr>
                <w:rFonts w:eastAsia="Times New Roman"/>
                <w:sz w:val="20"/>
                <w:szCs w:val="20"/>
              </w:rPr>
              <w:t>68</w:t>
            </w:r>
          </w:p>
        </w:tc>
      </w:tr>
      <w:tr w:rsidR="003B2FD1" w:rsidRPr="00E862B3" w14:paraId="790F143E" w14:textId="77777777" w:rsidTr="00E862B3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4774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18" w:space="0" w:color="000000"/>
            </w:tcBorders>
            <w:shd w:val="clear" w:color="auto" w:fill="EAF1DD" w:themeFill="accent3" w:themeFillTint="33"/>
            <w:vAlign w:val="center"/>
          </w:tcPr>
          <w:p w14:paraId="0F6ACACE" w14:textId="47E66E46" w:rsidR="003B2FD1" w:rsidRPr="00E862B3" w:rsidRDefault="003B2FD1" w:rsidP="003B2FD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 w:rsidRPr="00E862B3">
              <w:rPr>
                <w:rFonts w:ascii="Verdana" w:eastAsia="Times New Roman" w:hAnsi="Verdana"/>
                <w:sz w:val="20"/>
                <w:szCs w:val="20"/>
              </w:rPr>
              <w:t>TV (heavy: 300+ min. avg. day)</w:t>
            </w:r>
          </w:p>
        </w:tc>
        <w:tc>
          <w:tcPr>
            <w:tcW w:w="1083" w:type="dxa"/>
            <w:tcBorders>
              <w:top w:val="single" w:sz="12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0EF2EDA5" w14:textId="3AD41EC7" w:rsidR="003B2FD1" w:rsidRPr="00E862B3" w:rsidRDefault="003B2FD1" w:rsidP="00E862B3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 w:rsidRPr="00E862B3">
              <w:rPr>
                <w:rFonts w:eastAsia="Times New Roman"/>
                <w:sz w:val="20"/>
                <w:szCs w:val="20"/>
              </w:rPr>
              <w:t>29.7%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EAF1DD" w:themeFill="accent3" w:themeFillTint="33"/>
            <w:vAlign w:val="center"/>
          </w:tcPr>
          <w:p w14:paraId="18939E3F" w14:textId="2F8CE176" w:rsidR="003B2FD1" w:rsidRPr="00E862B3" w:rsidRDefault="003B2FD1" w:rsidP="00E862B3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 w:rsidRPr="00E862B3">
              <w:rPr>
                <w:rFonts w:eastAsia="Times New Roman"/>
                <w:sz w:val="20"/>
                <w:szCs w:val="20"/>
              </w:rPr>
              <w:t>101</w:t>
            </w:r>
          </w:p>
        </w:tc>
        <w:tc>
          <w:tcPr>
            <w:tcW w:w="1108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722A9F6A" w14:textId="7015B5D4" w:rsidR="003B2FD1" w:rsidRPr="00E862B3" w:rsidRDefault="00956D8D" w:rsidP="00E862B3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 w:rsidRPr="00E862B3">
              <w:rPr>
                <w:rFonts w:eastAsia="Times New Roman"/>
                <w:sz w:val="20"/>
                <w:szCs w:val="20"/>
              </w:rPr>
              <w:t>25.4%</w:t>
            </w:r>
          </w:p>
        </w:tc>
        <w:tc>
          <w:tcPr>
            <w:tcW w:w="1052" w:type="dxa"/>
            <w:tcBorders>
              <w:top w:val="single" w:sz="12" w:space="0" w:color="auto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EAF1DD" w:themeFill="accent3" w:themeFillTint="33"/>
            <w:vAlign w:val="center"/>
          </w:tcPr>
          <w:p w14:paraId="68329F1D" w14:textId="2086A16F" w:rsidR="003B2FD1" w:rsidRPr="00E862B3" w:rsidRDefault="00956D8D" w:rsidP="00E862B3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 w:rsidRPr="00E862B3">
              <w:rPr>
                <w:rFonts w:eastAsia="Times New Roman"/>
                <w:sz w:val="20"/>
                <w:szCs w:val="20"/>
              </w:rPr>
              <w:t>106</w:t>
            </w:r>
          </w:p>
        </w:tc>
      </w:tr>
      <w:tr w:rsidR="003B2FD1" w:rsidRPr="00E862B3" w14:paraId="3FA6A20C" w14:textId="77777777" w:rsidTr="00E862B3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47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0000"/>
            </w:tcBorders>
            <w:shd w:val="clear" w:color="auto" w:fill="EAF1DD" w:themeFill="accent3" w:themeFillTint="33"/>
            <w:vAlign w:val="center"/>
          </w:tcPr>
          <w:p w14:paraId="4330CCDE" w14:textId="6BE7762E" w:rsidR="003B2FD1" w:rsidRPr="00E862B3" w:rsidRDefault="003B2FD1" w:rsidP="003B2FD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 w:rsidRPr="00E862B3">
              <w:rPr>
                <w:rFonts w:ascii="Verdana" w:eastAsia="Times New Roman" w:hAnsi="Verdana"/>
                <w:sz w:val="20"/>
                <w:szCs w:val="20"/>
              </w:rPr>
              <w:t>TV (medium: 180–299 min. avg. day)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42302A4E" w14:textId="000B4A4C" w:rsidR="003B2FD1" w:rsidRPr="00E862B3" w:rsidRDefault="003B2FD1" w:rsidP="00E862B3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 w:rsidRPr="00E862B3">
              <w:rPr>
                <w:rFonts w:eastAsia="Times New Roman"/>
                <w:sz w:val="20"/>
                <w:szCs w:val="20"/>
              </w:rPr>
              <w:t>25.2%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EAF1DD" w:themeFill="accent3" w:themeFillTint="33"/>
            <w:vAlign w:val="center"/>
          </w:tcPr>
          <w:p w14:paraId="4CD3BB04" w14:textId="1A43B7F8" w:rsidR="003B2FD1" w:rsidRPr="00E862B3" w:rsidRDefault="003B2FD1" w:rsidP="00E862B3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 w:rsidRPr="00E862B3"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71BA69A2" w14:textId="5B5E5539" w:rsidR="003B2FD1" w:rsidRPr="00E862B3" w:rsidRDefault="00956D8D" w:rsidP="00E862B3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 w:rsidRPr="00E862B3">
              <w:rPr>
                <w:rFonts w:eastAsia="Times New Roman"/>
                <w:sz w:val="20"/>
                <w:szCs w:val="20"/>
              </w:rPr>
              <w:t>26.0%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EAF1DD" w:themeFill="accent3" w:themeFillTint="33"/>
            <w:vAlign w:val="center"/>
          </w:tcPr>
          <w:p w14:paraId="17735C3F" w14:textId="1DD5EDB0" w:rsidR="003B2FD1" w:rsidRPr="00E862B3" w:rsidRDefault="00956D8D" w:rsidP="00E862B3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 w:rsidRPr="00E862B3">
              <w:rPr>
                <w:rFonts w:eastAsia="Times New Roman"/>
                <w:sz w:val="20"/>
                <w:szCs w:val="20"/>
              </w:rPr>
              <w:t>104</w:t>
            </w:r>
          </w:p>
        </w:tc>
      </w:tr>
      <w:tr w:rsidR="003B2FD1" w:rsidRPr="00E862B3" w14:paraId="14975164" w14:textId="77777777" w:rsidTr="00E862B3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47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0000"/>
            </w:tcBorders>
            <w:shd w:val="clear" w:color="auto" w:fill="EAF1DD" w:themeFill="accent3" w:themeFillTint="33"/>
            <w:vAlign w:val="center"/>
          </w:tcPr>
          <w:p w14:paraId="3D678FE0" w14:textId="3EA8D9F9" w:rsidR="003B2FD1" w:rsidRPr="00E862B3" w:rsidRDefault="003B2FD1" w:rsidP="003B2FD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 w:rsidRPr="00E862B3">
              <w:rPr>
                <w:rFonts w:ascii="Verdana" w:eastAsia="Times New Roman" w:hAnsi="Verdana"/>
                <w:sz w:val="20"/>
                <w:szCs w:val="20"/>
              </w:rPr>
              <w:t>TV (light: 1–179 min. avg. day)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49074975" w14:textId="67269237" w:rsidR="003B2FD1" w:rsidRPr="00E862B3" w:rsidRDefault="003B2FD1" w:rsidP="00E862B3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 w:rsidRPr="00E862B3">
              <w:rPr>
                <w:rFonts w:eastAsia="Times New Roman"/>
                <w:sz w:val="20"/>
                <w:szCs w:val="20"/>
              </w:rPr>
              <w:t>38.7%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EAF1DD" w:themeFill="accent3" w:themeFillTint="33"/>
            <w:vAlign w:val="center"/>
          </w:tcPr>
          <w:p w14:paraId="3799F97A" w14:textId="35D934EF" w:rsidR="003B2FD1" w:rsidRPr="00E862B3" w:rsidRDefault="003B2FD1" w:rsidP="00E862B3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 w:rsidRPr="00E862B3">
              <w:rPr>
                <w:rFonts w:eastAsia="Times New Roman"/>
                <w:sz w:val="20"/>
                <w:szCs w:val="20"/>
              </w:rPr>
              <w:t>102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29048D58" w14:textId="5218516C" w:rsidR="003B2FD1" w:rsidRPr="00E862B3" w:rsidRDefault="00956D8D" w:rsidP="00E862B3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 w:rsidRPr="00E862B3">
              <w:rPr>
                <w:rFonts w:eastAsia="Times New Roman"/>
                <w:sz w:val="20"/>
                <w:szCs w:val="20"/>
              </w:rPr>
              <w:t>42.2%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EAF1DD" w:themeFill="accent3" w:themeFillTint="33"/>
            <w:vAlign w:val="center"/>
          </w:tcPr>
          <w:p w14:paraId="2EAF4282" w14:textId="1BF90706" w:rsidR="003B2FD1" w:rsidRPr="00E862B3" w:rsidRDefault="00956D8D" w:rsidP="00E862B3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 w:rsidRPr="00E862B3">
              <w:rPr>
                <w:rFonts w:eastAsia="Times New Roman"/>
                <w:sz w:val="20"/>
                <w:szCs w:val="20"/>
              </w:rPr>
              <w:t>97</w:t>
            </w:r>
          </w:p>
        </w:tc>
      </w:tr>
      <w:tr w:rsidR="003B2FD1" w:rsidRPr="00E862B3" w14:paraId="3DED0CA5" w14:textId="77777777" w:rsidTr="00E862B3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4774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262FD5B2" w14:textId="5DB29A7A" w:rsidR="003B2FD1" w:rsidRPr="00E862B3" w:rsidRDefault="003B2FD1" w:rsidP="003B2FD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 w:rsidRPr="00E862B3">
              <w:rPr>
                <w:rFonts w:ascii="Verdana" w:eastAsia="Times New Roman" w:hAnsi="Verdana"/>
                <w:sz w:val="20"/>
                <w:szCs w:val="20"/>
              </w:rPr>
              <w:t>TV (no exposure)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425D96B" w14:textId="71470F2B" w:rsidR="003B2FD1" w:rsidRPr="00E862B3" w:rsidRDefault="003B2FD1" w:rsidP="00E862B3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 w:rsidRPr="00E862B3">
              <w:rPr>
                <w:rFonts w:eastAsia="Times New Roman"/>
                <w:sz w:val="20"/>
                <w:szCs w:val="20"/>
              </w:rPr>
              <w:t>6.4%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8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0B12A9DA" w14:textId="6756F8A5" w:rsidR="003B2FD1" w:rsidRPr="00E862B3" w:rsidRDefault="003B2FD1" w:rsidP="00E862B3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 w:rsidRPr="00E862B3">
              <w:rPr>
                <w:rFonts w:eastAsia="Times New Roman"/>
                <w:sz w:val="20"/>
                <w:szCs w:val="20"/>
              </w:rPr>
              <w:t>91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60ACAB6" w14:textId="07CC5B7A" w:rsidR="003B2FD1" w:rsidRPr="00E862B3" w:rsidRDefault="00956D8D" w:rsidP="00E862B3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 w:rsidRPr="00E862B3">
              <w:rPr>
                <w:rFonts w:eastAsia="Times New Roman"/>
                <w:sz w:val="20"/>
                <w:szCs w:val="20"/>
              </w:rPr>
              <w:t>6.4%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8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470FA300" w14:textId="72B71130" w:rsidR="003B2FD1" w:rsidRPr="00E862B3" w:rsidRDefault="00956D8D" w:rsidP="00E862B3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 w:rsidRPr="00E862B3">
              <w:rPr>
                <w:rFonts w:eastAsia="Times New Roman"/>
                <w:sz w:val="20"/>
                <w:szCs w:val="20"/>
              </w:rPr>
              <w:t>88</w:t>
            </w:r>
          </w:p>
        </w:tc>
      </w:tr>
      <w:tr w:rsidR="003B2FD1" w:rsidRPr="00E862B3" w14:paraId="42E30697" w14:textId="77777777" w:rsidTr="00E862B3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4774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CD43476" w14:textId="7804D9AD" w:rsidR="003B2FD1" w:rsidRPr="00E862B3" w:rsidRDefault="003B2FD1" w:rsidP="003B2FD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 w:rsidRPr="00E862B3">
              <w:rPr>
                <w:rFonts w:ascii="Verdana" w:eastAsia="Times New Roman" w:hAnsi="Verdana"/>
                <w:sz w:val="20"/>
                <w:szCs w:val="20"/>
              </w:rPr>
              <w:t>Newspaper (heavy: 60+ min. avg. day)</w:t>
            </w:r>
          </w:p>
        </w:tc>
        <w:tc>
          <w:tcPr>
            <w:tcW w:w="1083" w:type="dxa"/>
            <w:tcBorders>
              <w:top w:val="single" w:sz="12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ED7E63" w14:textId="35726265" w:rsidR="003B2FD1" w:rsidRPr="00E862B3" w:rsidRDefault="00956D8D" w:rsidP="00E862B3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 w:rsidRPr="00E862B3">
              <w:rPr>
                <w:rFonts w:eastAsia="Times New Roman"/>
                <w:sz w:val="20"/>
                <w:szCs w:val="20"/>
              </w:rPr>
              <w:t>22.1%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9168EFA" w14:textId="1B9F1443" w:rsidR="003B2FD1" w:rsidRPr="00E862B3" w:rsidRDefault="00956D8D" w:rsidP="00E862B3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 w:rsidRPr="00E862B3">
              <w:rPr>
                <w:rFonts w:eastAsia="Times New Roman"/>
                <w:sz w:val="20"/>
                <w:szCs w:val="20"/>
              </w:rPr>
              <w:t>129</w:t>
            </w:r>
          </w:p>
        </w:tc>
        <w:tc>
          <w:tcPr>
            <w:tcW w:w="1108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780620" w14:textId="0F9A79DC" w:rsidR="003B2FD1" w:rsidRPr="00E862B3" w:rsidRDefault="00956D8D" w:rsidP="00E862B3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 w:rsidRPr="00E862B3">
              <w:rPr>
                <w:rFonts w:eastAsia="Times New Roman"/>
                <w:sz w:val="20"/>
                <w:szCs w:val="20"/>
              </w:rPr>
              <w:t>23.5%</w:t>
            </w:r>
          </w:p>
        </w:tc>
        <w:tc>
          <w:tcPr>
            <w:tcW w:w="1052" w:type="dxa"/>
            <w:tcBorders>
              <w:top w:val="single" w:sz="12" w:space="0" w:color="auto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48FFCD4" w14:textId="3990019C" w:rsidR="003B2FD1" w:rsidRPr="00E862B3" w:rsidRDefault="00956D8D" w:rsidP="00E862B3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 w:rsidRPr="00E862B3">
              <w:rPr>
                <w:rFonts w:eastAsia="Times New Roman"/>
                <w:sz w:val="20"/>
                <w:szCs w:val="20"/>
              </w:rPr>
              <w:t>140</w:t>
            </w:r>
          </w:p>
        </w:tc>
      </w:tr>
      <w:tr w:rsidR="003B2FD1" w:rsidRPr="00E862B3" w14:paraId="75DB6686" w14:textId="77777777" w:rsidTr="00E862B3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47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B62BCD2" w14:textId="68B5C02A" w:rsidR="003B2FD1" w:rsidRPr="00E862B3" w:rsidRDefault="003B2FD1" w:rsidP="003B2FD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 w:rsidRPr="00E862B3">
              <w:rPr>
                <w:rFonts w:ascii="Verdana" w:eastAsia="Times New Roman" w:hAnsi="Verdana"/>
                <w:sz w:val="20"/>
                <w:szCs w:val="20"/>
              </w:rPr>
              <w:t>Newspaper (medium: 30–59 min. avg. day)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F2A16C" w14:textId="1C047FB5" w:rsidR="003B2FD1" w:rsidRPr="00E862B3" w:rsidRDefault="00956D8D" w:rsidP="00E862B3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 w:rsidRPr="00E862B3">
              <w:rPr>
                <w:rFonts w:eastAsia="Times New Roman"/>
                <w:sz w:val="20"/>
                <w:szCs w:val="20"/>
              </w:rPr>
              <w:t>9.0%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827A3F7" w14:textId="0AE2FBED" w:rsidR="003B2FD1" w:rsidRPr="00E862B3" w:rsidRDefault="00956D8D" w:rsidP="00E862B3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 w:rsidRPr="00E862B3">
              <w:rPr>
                <w:rFonts w:eastAsia="Times New Roman"/>
                <w:sz w:val="20"/>
                <w:szCs w:val="20"/>
              </w:rPr>
              <w:t>112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CA4520" w14:textId="4EE56D8B" w:rsidR="003B2FD1" w:rsidRPr="00E862B3" w:rsidRDefault="00956D8D" w:rsidP="00E862B3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 w:rsidRPr="00E862B3">
              <w:rPr>
                <w:rFonts w:eastAsia="Times New Roman"/>
                <w:sz w:val="20"/>
                <w:szCs w:val="20"/>
              </w:rPr>
              <w:t>7.5%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1CAA2FC" w14:textId="5B4096A0" w:rsidR="003B2FD1" w:rsidRPr="00E862B3" w:rsidRDefault="00956D8D" w:rsidP="00E862B3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 w:rsidRPr="00E862B3">
              <w:rPr>
                <w:rFonts w:eastAsia="Times New Roman"/>
                <w:sz w:val="20"/>
                <w:szCs w:val="20"/>
              </w:rPr>
              <w:t>118</w:t>
            </w:r>
          </w:p>
        </w:tc>
      </w:tr>
      <w:tr w:rsidR="003B2FD1" w:rsidRPr="00E862B3" w14:paraId="77FAE478" w14:textId="77777777" w:rsidTr="00E862B3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47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4A7CFA0" w14:textId="6D7E8FC2" w:rsidR="003B2FD1" w:rsidRPr="00E862B3" w:rsidRDefault="003B2FD1" w:rsidP="003B2FD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 w:rsidRPr="00E862B3">
              <w:rPr>
                <w:rFonts w:ascii="Verdana" w:eastAsia="Times New Roman" w:hAnsi="Verdana"/>
                <w:sz w:val="20"/>
                <w:szCs w:val="20"/>
              </w:rPr>
              <w:t>Newspaper (light: 1–29 min. avg. day)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D4F44F" w14:textId="312E2B1C" w:rsidR="003B2FD1" w:rsidRPr="00E862B3" w:rsidRDefault="00956D8D" w:rsidP="00E862B3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 w:rsidRPr="00E862B3">
              <w:rPr>
                <w:rFonts w:eastAsia="Times New Roman"/>
                <w:sz w:val="20"/>
                <w:szCs w:val="20"/>
              </w:rPr>
              <w:t>7.3%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8AD439B" w14:textId="5F995D17" w:rsidR="003B2FD1" w:rsidRPr="00E862B3" w:rsidRDefault="00956D8D" w:rsidP="00E862B3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 w:rsidRPr="00E862B3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076108" w14:textId="73AC90C2" w:rsidR="003B2FD1" w:rsidRPr="00E862B3" w:rsidRDefault="00956D8D" w:rsidP="00E862B3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 w:rsidRPr="00E862B3">
              <w:rPr>
                <w:rFonts w:eastAsia="Times New Roman"/>
                <w:sz w:val="20"/>
                <w:szCs w:val="20"/>
              </w:rPr>
              <w:t>7.3%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82253F0" w14:textId="36E3F897" w:rsidR="003B2FD1" w:rsidRPr="00E862B3" w:rsidRDefault="00956D8D" w:rsidP="00E862B3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 w:rsidRPr="00E862B3">
              <w:rPr>
                <w:rFonts w:eastAsia="Times New Roman"/>
                <w:sz w:val="20"/>
                <w:szCs w:val="20"/>
              </w:rPr>
              <w:t>118</w:t>
            </w:r>
          </w:p>
        </w:tc>
      </w:tr>
      <w:tr w:rsidR="003B2FD1" w:rsidRPr="00E862B3" w14:paraId="14DA4BD5" w14:textId="77777777" w:rsidTr="00E862B3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4774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8" w:space="0" w:color="000000"/>
            </w:tcBorders>
            <w:shd w:val="clear" w:color="auto" w:fill="F2DBDB" w:themeFill="accent2" w:themeFillTint="33"/>
            <w:vAlign w:val="center"/>
          </w:tcPr>
          <w:p w14:paraId="4A433030" w14:textId="08E6E9B8" w:rsidR="003B2FD1" w:rsidRPr="00E862B3" w:rsidRDefault="003B2FD1" w:rsidP="003B2FD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 w:rsidRPr="00E862B3">
              <w:rPr>
                <w:rFonts w:ascii="Verdana" w:eastAsia="Times New Roman" w:hAnsi="Verdana"/>
                <w:sz w:val="20"/>
                <w:szCs w:val="20"/>
              </w:rPr>
              <w:t>Newspaper (no exposure)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F2DBDB" w:themeFill="accent2" w:themeFillTint="33"/>
            <w:vAlign w:val="center"/>
          </w:tcPr>
          <w:p w14:paraId="0E9C7C54" w14:textId="3D26CD9D" w:rsidR="003B2FD1" w:rsidRPr="00E862B3" w:rsidRDefault="00956D8D" w:rsidP="00E862B3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 w:rsidRPr="00E862B3">
              <w:rPr>
                <w:rFonts w:eastAsia="Times New Roman"/>
                <w:sz w:val="20"/>
                <w:szCs w:val="20"/>
              </w:rPr>
              <w:t>61.7%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8" w:space="0" w:color="000000"/>
              <w:bottom w:val="single" w:sz="12" w:space="0" w:color="auto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14:paraId="245A62A8" w14:textId="75F74044" w:rsidR="003B2FD1" w:rsidRPr="00E862B3" w:rsidRDefault="00956D8D" w:rsidP="00E862B3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 w:rsidRPr="00E862B3">
              <w:rPr>
                <w:rFonts w:eastAsia="Times New Roman"/>
                <w:sz w:val="20"/>
                <w:szCs w:val="20"/>
              </w:rPr>
              <w:t>91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8" w:space="0" w:color="000000"/>
            </w:tcBorders>
            <w:shd w:val="clear" w:color="auto" w:fill="F2DBDB" w:themeFill="accent2" w:themeFillTint="33"/>
            <w:vAlign w:val="center"/>
          </w:tcPr>
          <w:p w14:paraId="3A878D17" w14:textId="46575EC2" w:rsidR="003B2FD1" w:rsidRPr="00E862B3" w:rsidRDefault="00956D8D" w:rsidP="00E862B3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 w:rsidRPr="00E862B3">
              <w:rPr>
                <w:rFonts w:eastAsia="Times New Roman"/>
                <w:sz w:val="20"/>
                <w:szCs w:val="20"/>
              </w:rPr>
              <w:t>61.7%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8" w:space="0" w:color="000000"/>
              <w:bottom w:val="single" w:sz="12" w:space="0" w:color="auto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14:paraId="7D3C7ED2" w14:textId="0CD97BF1" w:rsidR="003B2FD1" w:rsidRPr="00E862B3" w:rsidRDefault="00956D8D" w:rsidP="00E862B3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 w:rsidRPr="00E862B3">
              <w:rPr>
                <w:rFonts w:eastAsia="Times New Roman"/>
                <w:sz w:val="20"/>
                <w:szCs w:val="20"/>
              </w:rPr>
              <w:t>87</w:t>
            </w:r>
          </w:p>
        </w:tc>
      </w:tr>
      <w:tr w:rsidR="003B2FD1" w:rsidRPr="00E862B3" w14:paraId="3E78743F" w14:textId="77777777" w:rsidTr="00E862B3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4774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18" w:space="0" w:color="000000"/>
            </w:tcBorders>
            <w:shd w:val="clear" w:color="auto" w:fill="EAF1DD" w:themeFill="accent3" w:themeFillTint="33"/>
            <w:vAlign w:val="center"/>
          </w:tcPr>
          <w:p w14:paraId="44336106" w14:textId="1139D82B" w:rsidR="003B2FD1" w:rsidRPr="00E862B3" w:rsidRDefault="003B2FD1" w:rsidP="003B2FD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 w:rsidRPr="00E862B3">
              <w:rPr>
                <w:rFonts w:ascii="Verdana" w:eastAsia="Times New Roman" w:hAnsi="Verdana"/>
                <w:sz w:val="20"/>
                <w:szCs w:val="20"/>
              </w:rPr>
              <w:t>Outdoor (heavy: 200+ miles avg. day)</w:t>
            </w:r>
          </w:p>
        </w:tc>
        <w:tc>
          <w:tcPr>
            <w:tcW w:w="1083" w:type="dxa"/>
            <w:tcBorders>
              <w:top w:val="single" w:sz="12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021E0C15" w14:textId="334B7F7E" w:rsidR="003B2FD1" w:rsidRPr="00E862B3" w:rsidRDefault="00956D8D" w:rsidP="00E862B3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 w:rsidRPr="00E862B3">
              <w:rPr>
                <w:rFonts w:eastAsia="Times New Roman"/>
                <w:sz w:val="20"/>
                <w:szCs w:val="20"/>
              </w:rPr>
              <w:t>30.5%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EAF1DD" w:themeFill="accent3" w:themeFillTint="33"/>
            <w:vAlign w:val="center"/>
          </w:tcPr>
          <w:p w14:paraId="55C2407E" w14:textId="41ABCFA8" w:rsidR="003B2FD1" w:rsidRPr="00E862B3" w:rsidRDefault="00956D8D" w:rsidP="00E862B3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 w:rsidRPr="00E862B3">
              <w:rPr>
                <w:rFonts w:eastAsia="Times New Roman"/>
                <w:sz w:val="20"/>
                <w:szCs w:val="20"/>
              </w:rPr>
              <w:t>119</w:t>
            </w:r>
          </w:p>
        </w:tc>
        <w:tc>
          <w:tcPr>
            <w:tcW w:w="1108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18310AD4" w14:textId="391B3FB6" w:rsidR="003B2FD1" w:rsidRPr="00E862B3" w:rsidRDefault="00956D8D" w:rsidP="00E862B3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 w:rsidRPr="00E862B3">
              <w:rPr>
                <w:rFonts w:eastAsia="Times New Roman"/>
                <w:sz w:val="20"/>
                <w:szCs w:val="20"/>
              </w:rPr>
              <w:t>32.9%</w:t>
            </w:r>
          </w:p>
        </w:tc>
        <w:tc>
          <w:tcPr>
            <w:tcW w:w="1052" w:type="dxa"/>
            <w:tcBorders>
              <w:top w:val="single" w:sz="12" w:space="0" w:color="auto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EAF1DD" w:themeFill="accent3" w:themeFillTint="33"/>
            <w:vAlign w:val="center"/>
          </w:tcPr>
          <w:p w14:paraId="2C792475" w14:textId="1EBA4036" w:rsidR="003B2FD1" w:rsidRPr="00E862B3" w:rsidRDefault="00956D8D" w:rsidP="00E862B3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 w:rsidRPr="00E862B3">
              <w:rPr>
                <w:rFonts w:eastAsia="Times New Roman"/>
                <w:sz w:val="20"/>
                <w:szCs w:val="20"/>
              </w:rPr>
              <w:t>109</w:t>
            </w:r>
          </w:p>
        </w:tc>
      </w:tr>
      <w:tr w:rsidR="003B2FD1" w:rsidRPr="00E862B3" w14:paraId="1C4FDCCF" w14:textId="77777777" w:rsidTr="00E862B3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47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0000"/>
            </w:tcBorders>
            <w:shd w:val="clear" w:color="auto" w:fill="EAF1DD" w:themeFill="accent3" w:themeFillTint="33"/>
            <w:vAlign w:val="center"/>
          </w:tcPr>
          <w:p w14:paraId="4B33F263" w14:textId="2FB643DE" w:rsidR="003B2FD1" w:rsidRPr="00E862B3" w:rsidRDefault="003B2FD1" w:rsidP="003B2FD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 w:rsidRPr="00E862B3">
              <w:rPr>
                <w:rFonts w:ascii="Verdana" w:eastAsia="Times New Roman" w:hAnsi="Verdana"/>
                <w:sz w:val="20"/>
                <w:szCs w:val="20"/>
              </w:rPr>
              <w:t>Outdoor (medium: 100–199 miles avg. day)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22E68AAC" w14:textId="187002E2" w:rsidR="003B2FD1" w:rsidRPr="00E862B3" w:rsidRDefault="00956D8D" w:rsidP="00E862B3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 w:rsidRPr="00E862B3">
              <w:rPr>
                <w:rFonts w:eastAsia="Times New Roman"/>
                <w:sz w:val="20"/>
                <w:szCs w:val="20"/>
              </w:rPr>
              <w:t>20.7%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EAF1DD" w:themeFill="accent3" w:themeFillTint="33"/>
            <w:vAlign w:val="center"/>
          </w:tcPr>
          <w:p w14:paraId="01629FA3" w14:textId="72C05FE4" w:rsidR="003B2FD1" w:rsidRPr="00E862B3" w:rsidRDefault="00956D8D" w:rsidP="00E862B3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 w:rsidRPr="00E862B3">
              <w:rPr>
                <w:rFonts w:eastAsia="Times New Roman"/>
                <w:sz w:val="20"/>
                <w:szCs w:val="20"/>
              </w:rPr>
              <w:t>111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3F92D7B4" w14:textId="3C9E541F" w:rsidR="003B2FD1" w:rsidRPr="00E862B3" w:rsidRDefault="00956D8D" w:rsidP="00E862B3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 w:rsidRPr="00E862B3">
              <w:rPr>
                <w:rFonts w:eastAsia="Times New Roman"/>
                <w:sz w:val="20"/>
                <w:szCs w:val="20"/>
              </w:rPr>
              <w:t>20.3%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EAF1DD" w:themeFill="accent3" w:themeFillTint="33"/>
            <w:vAlign w:val="center"/>
          </w:tcPr>
          <w:p w14:paraId="7F69E3AA" w14:textId="6EEF9F33" w:rsidR="003B2FD1" w:rsidRPr="00E862B3" w:rsidRDefault="00956D8D" w:rsidP="00E862B3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 w:rsidRPr="00E862B3">
              <w:rPr>
                <w:rFonts w:eastAsia="Times New Roman"/>
                <w:sz w:val="20"/>
                <w:szCs w:val="20"/>
              </w:rPr>
              <w:t>111</w:t>
            </w:r>
          </w:p>
        </w:tc>
      </w:tr>
      <w:tr w:rsidR="003B2FD1" w:rsidRPr="00E862B3" w14:paraId="5CBE374F" w14:textId="77777777" w:rsidTr="00E862B3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47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0000"/>
            </w:tcBorders>
            <w:shd w:val="clear" w:color="auto" w:fill="EAF1DD" w:themeFill="accent3" w:themeFillTint="33"/>
            <w:vAlign w:val="center"/>
          </w:tcPr>
          <w:p w14:paraId="57360C88" w14:textId="4069EDF9" w:rsidR="003B2FD1" w:rsidRPr="00E862B3" w:rsidRDefault="003B2FD1" w:rsidP="003B2FD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 w:rsidRPr="00E862B3">
              <w:rPr>
                <w:rFonts w:ascii="Verdana" w:eastAsia="Times New Roman" w:hAnsi="Verdana"/>
                <w:sz w:val="20"/>
                <w:szCs w:val="20"/>
              </w:rPr>
              <w:t>Outdoor (light: 1–99 miles avg. day)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4F8BA7BB" w14:textId="6004A4EA" w:rsidR="003B2FD1" w:rsidRPr="00E862B3" w:rsidRDefault="00956D8D" w:rsidP="00E862B3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 w:rsidRPr="00E862B3">
              <w:rPr>
                <w:rFonts w:eastAsia="Times New Roman"/>
                <w:sz w:val="20"/>
                <w:szCs w:val="20"/>
              </w:rPr>
              <w:t>45.1%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EAF1DD" w:themeFill="accent3" w:themeFillTint="33"/>
            <w:vAlign w:val="center"/>
          </w:tcPr>
          <w:p w14:paraId="3BAE811C" w14:textId="470F853A" w:rsidR="003B2FD1" w:rsidRPr="00E862B3" w:rsidRDefault="00956D8D" w:rsidP="00E862B3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 w:rsidRPr="00E862B3">
              <w:rPr>
                <w:rFonts w:eastAsia="Times New Roman"/>
                <w:sz w:val="20"/>
                <w:szCs w:val="20"/>
              </w:rPr>
              <w:t>90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309BD049" w14:textId="520652EF" w:rsidR="003B2FD1" w:rsidRPr="00E862B3" w:rsidRDefault="00956D8D" w:rsidP="00E862B3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 w:rsidRPr="00E862B3">
              <w:rPr>
                <w:rFonts w:eastAsia="Times New Roman"/>
                <w:sz w:val="20"/>
                <w:szCs w:val="20"/>
              </w:rPr>
              <w:t>43.1%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EAF1DD" w:themeFill="accent3" w:themeFillTint="33"/>
            <w:vAlign w:val="center"/>
          </w:tcPr>
          <w:p w14:paraId="64925470" w14:textId="76E93466" w:rsidR="003B2FD1" w:rsidRPr="00E862B3" w:rsidRDefault="00956D8D" w:rsidP="00E862B3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 w:rsidRPr="00E862B3">
              <w:rPr>
                <w:rFonts w:eastAsia="Times New Roman"/>
                <w:sz w:val="20"/>
                <w:szCs w:val="20"/>
              </w:rPr>
              <w:t>94</w:t>
            </w:r>
          </w:p>
        </w:tc>
      </w:tr>
      <w:tr w:rsidR="003B2FD1" w:rsidRPr="00E862B3" w14:paraId="772720ED" w14:textId="77777777" w:rsidTr="00E862B3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4774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03FD9E08" w14:textId="7FE0A3D4" w:rsidR="003B2FD1" w:rsidRPr="00E862B3" w:rsidRDefault="003B2FD1" w:rsidP="003B2FD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 w:rsidRPr="00E862B3">
              <w:rPr>
                <w:rFonts w:ascii="Verdana" w:eastAsia="Times New Roman" w:hAnsi="Verdana"/>
                <w:sz w:val="20"/>
                <w:szCs w:val="20"/>
              </w:rPr>
              <w:t>Outdoor (no exposure)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3A44E42" w14:textId="3348CB0F" w:rsidR="003B2FD1" w:rsidRPr="00E862B3" w:rsidRDefault="00956D8D" w:rsidP="00E862B3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 w:rsidRPr="00E862B3">
              <w:rPr>
                <w:rFonts w:eastAsia="Times New Roman"/>
                <w:sz w:val="20"/>
                <w:szCs w:val="20"/>
              </w:rPr>
              <w:t>3.6%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8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415AFA0A" w14:textId="2428225E" w:rsidR="003B2FD1" w:rsidRPr="00E862B3" w:rsidRDefault="00956D8D" w:rsidP="00E862B3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 w:rsidRPr="00E862B3">
              <w:rPr>
                <w:rFonts w:eastAsia="Times New Roman"/>
                <w:sz w:val="20"/>
                <w:szCs w:val="20"/>
              </w:rPr>
              <w:t>65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A373716" w14:textId="27952190" w:rsidR="003B2FD1" w:rsidRPr="00E862B3" w:rsidRDefault="00956D8D" w:rsidP="00E862B3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 w:rsidRPr="00E862B3">
              <w:rPr>
                <w:rFonts w:eastAsia="Times New Roman"/>
                <w:sz w:val="20"/>
                <w:szCs w:val="20"/>
              </w:rPr>
              <w:t>3.7%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8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13491E96" w14:textId="5C62CB1C" w:rsidR="003B2FD1" w:rsidRPr="00E862B3" w:rsidRDefault="00956D8D" w:rsidP="00E862B3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 w:rsidRPr="00E862B3">
              <w:rPr>
                <w:rFonts w:eastAsia="Times New Roman"/>
                <w:sz w:val="20"/>
                <w:szCs w:val="20"/>
              </w:rPr>
              <w:t>66</w:t>
            </w:r>
          </w:p>
        </w:tc>
      </w:tr>
      <w:tr w:rsidR="003B2FD1" w:rsidRPr="00E862B3" w14:paraId="65A34778" w14:textId="77777777" w:rsidTr="00E862B3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4774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18" w:space="0" w:color="000000"/>
            </w:tcBorders>
            <w:shd w:val="clear" w:color="auto" w:fill="EAF1DD" w:themeFill="accent3" w:themeFillTint="33"/>
            <w:vAlign w:val="center"/>
          </w:tcPr>
          <w:p w14:paraId="441552BD" w14:textId="38557634" w:rsidR="003B2FD1" w:rsidRPr="00E862B3" w:rsidRDefault="003B2FD1" w:rsidP="003B2FD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 w:rsidRPr="00E862B3">
              <w:rPr>
                <w:rFonts w:ascii="Verdana" w:eastAsia="Times New Roman" w:hAnsi="Verdana"/>
                <w:sz w:val="20"/>
                <w:szCs w:val="20"/>
              </w:rPr>
              <w:t>Direct Mail (heavy: 75%+ read weekly)</w:t>
            </w:r>
          </w:p>
        </w:tc>
        <w:tc>
          <w:tcPr>
            <w:tcW w:w="1083" w:type="dxa"/>
            <w:tcBorders>
              <w:top w:val="single" w:sz="12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0113ED36" w14:textId="20C5C550" w:rsidR="003B2FD1" w:rsidRPr="00E862B3" w:rsidRDefault="00956D8D" w:rsidP="00E862B3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 w:rsidRPr="00E862B3">
              <w:rPr>
                <w:rFonts w:eastAsia="Times New Roman"/>
                <w:sz w:val="20"/>
                <w:szCs w:val="20"/>
              </w:rPr>
              <w:t>37.0%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EAF1DD" w:themeFill="accent3" w:themeFillTint="33"/>
            <w:vAlign w:val="center"/>
          </w:tcPr>
          <w:p w14:paraId="747FEE35" w14:textId="16B6B228" w:rsidR="003B2FD1" w:rsidRPr="00E862B3" w:rsidRDefault="00956D8D" w:rsidP="00E862B3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 w:rsidRPr="00E862B3">
              <w:rPr>
                <w:rFonts w:eastAsia="Times New Roman"/>
                <w:sz w:val="20"/>
                <w:szCs w:val="20"/>
              </w:rPr>
              <w:t>126</w:t>
            </w:r>
          </w:p>
        </w:tc>
        <w:tc>
          <w:tcPr>
            <w:tcW w:w="1108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6AE24CEE" w14:textId="75E2461F" w:rsidR="003B2FD1" w:rsidRPr="00E862B3" w:rsidRDefault="00956D8D" w:rsidP="00E862B3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 w:rsidRPr="00E862B3">
              <w:rPr>
                <w:rFonts w:eastAsia="Times New Roman"/>
                <w:sz w:val="20"/>
                <w:szCs w:val="20"/>
              </w:rPr>
              <w:t>36.3%</w:t>
            </w:r>
          </w:p>
        </w:tc>
        <w:tc>
          <w:tcPr>
            <w:tcW w:w="1052" w:type="dxa"/>
            <w:tcBorders>
              <w:top w:val="single" w:sz="12" w:space="0" w:color="auto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EAF1DD" w:themeFill="accent3" w:themeFillTint="33"/>
            <w:vAlign w:val="center"/>
          </w:tcPr>
          <w:p w14:paraId="06AE3E93" w14:textId="2B3C049B" w:rsidR="003B2FD1" w:rsidRPr="00E862B3" w:rsidRDefault="00956D8D" w:rsidP="00E862B3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 w:rsidRPr="00E862B3">
              <w:rPr>
                <w:rFonts w:eastAsia="Times New Roman"/>
                <w:sz w:val="20"/>
                <w:szCs w:val="20"/>
              </w:rPr>
              <w:t>132</w:t>
            </w:r>
          </w:p>
        </w:tc>
      </w:tr>
      <w:tr w:rsidR="003B2FD1" w:rsidRPr="00E862B3" w14:paraId="4F12A229" w14:textId="77777777" w:rsidTr="00E862B3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47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0000"/>
            </w:tcBorders>
            <w:shd w:val="clear" w:color="auto" w:fill="EAF1DD" w:themeFill="accent3" w:themeFillTint="33"/>
            <w:vAlign w:val="center"/>
          </w:tcPr>
          <w:p w14:paraId="0D823BD0" w14:textId="43F674DE" w:rsidR="003B2FD1" w:rsidRPr="00E862B3" w:rsidRDefault="003B2FD1" w:rsidP="003B2FD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 w:rsidRPr="00E862B3">
              <w:rPr>
                <w:rFonts w:ascii="Verdana" w:eastAsia="Times New Roman" w:hAnsi="Verdana"/>
                <w:sz w:val="20"/>
                <w:szCs w:val="20"/>
              </w:rPr>
              <w:t>Direct Mail (medium: 25–74% read weekly)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583D602B" w14:textId="7E97435A" w:rsidR="003B2FD1" w:rsidRPr="00E862B3" w:rsidRDefault="00956D8D" w:rsidP="00E862B3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 w:rsidRPr="00E862B3">
              <w:rPr>
                <w:rFonts w:eastAsia="Times New Roman"/>
                <w:sz w:val="20"/>
                <w:szCs w:val="20"/>
              </w:rPr>
              <w:t>28.4%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EAF1DD" w:themeFill="accent3" w:themeFillTint="33"/>
            <w:vAlign w:val="center"/>
          </w:tcPr>
          <w:p w14:paraId="459F4802" w14:textId="7155B651" w:rsidR="003B2FD1" w:rsidRPr="00E862B3" w:rsidRDefault="00956D8D" w:rsidP="00E862B3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 w:rsidRPr="00E862B3">
              <w:rPr>
                <w:rFonts w:eastAsia="Times New Roman"/>
                <w:sz w:val="20"/>
                <w:szCs w:val="20"/>
              </w:rPr>
              <w:t>118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0A9A4E45" w14:textId="72799F50" w:rsidR="003B2FD1" w:rsidRPr="00E862B3" w:rsidRDefault="00956D8D" w:rsidP="00E862B3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 w:rsidRPr="00E862B3">
              <w:rPr>
                <w:rFonts w:eastAsia="Times New Roman"/>
                <w:sz w:val="20"/>
                <w:szCs w:val="20"/>
              </w:rPr>
              <w:t>28.8%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EAF1DD" w:themeFill="accent3" w:themeFillTint="33"/>
            <w:vAlign w:val="center"/>
          </w:tcPr>
          <w:p w14:paraId="5CB962DD" w14:textId="36D3A286" w:rsidR="003B2FD1" w:rsidRPr="00E862B3" w:rsidRDefault="00956D8D" w:rsidP="00E862B3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 w:rsidRPr="00E862B3">
              <w:rPr>
                <w:rFonts w:eastAsia="Times New Roman"/>
                <w:sz w:val="20"/>
                <w:szCs w:val="20"/>
              </w:rPr>
              <w:t>120</w:t>
            </w:r>
          </w:p>
        </w:tc>
      </w:tr>
      <w:tr w:rsidR="003B2FD1" w:rsidRPr="00E862B3" w14:paraId="1311128F" w14:textId="77777777" w:rsidTr="00E862B3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47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0000"/>
            </w:tcBorders>
            <w:shd w:val="clear" w:color="auto" w:fill="EAF1DD" w:themeFill="accent3" w:themeFillTint="33"/>
            <w:vAlign w:val="center"/>
          </w:tcPr>
          <w:p w14:paraId="0D781550" w14:textId="5780FDE2" w:rsidR="003B2FD1" w:rsidRPr="00E862B3" w:rsidRDefault="003B2FD1" w:rsidP="003B2FD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 w:rsidRPr="00E862B3">
              <w:rPr>
                <w:rFonts w:ascii="Verdana" w:eastAsia="Times New Roman" w:hAnsi="Verdana"/>
                <w:sz w:val="20"/>
                <w:szCs w:val="20"/>
              </w:rPr>
              <w:t>Direct Mail (light: 1–24% read weekly)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52D661CC" w14:textId="0F6E433A" w:rsidR="003B2FD1" w:rsidRPr="00E862B3" w:rsidRDefault="00956D8D" w:rsidP="00E862B3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 w:rsidRPr="00E862B3">
              <w:rPr>
                <w:rFonts w:eastAsia="Times New Roman"/>
                <w:sz w:val="20"/>
                <w:szCs w:val="20"/>
              </w:rPr>
              <w:t>22.7%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EAF1DD" w:themeFill="accent3" w:themeFillTint="33"/>
            <w:vAlign w:val="center"/>
          </w:tcPr>
          <w:p w14:paraId="0572B0BF" w14:textId="2197B239" w:rsidR="003B2FD1" w:rsidRPr="00E862B3" w:rsidRDefault="00956D8D" w:rsidP="00E862B3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 w:rsidRPr="00E862B3">
              <w:rPr>
                <w:rFonts w:eastAsia="Times New Roman"/>
                <w:sz w:val="20"/>
                <w:szCs w:val="20"/>
              </w:rPr>
              <w:t>90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1BF33680" w14:textId="255EBA6D" w:rsidR="003B2FD1" w:rsidRPr="00E862B3" w:rsidRDefault="00956D8D" w:rsidP="00E862B3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 w:rsidRPr="00E862B3">
              <w:rPr>
                <w:rFonts w:eastAsia="Times New Roman"/>
                <w:sz w:val="20"/>
                <w:szCs w:val="20"/>
              </w:rPr>
              <w:t>21.4%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EAF1DD" w:themeFill="accent3" w:themeFillTint="33"/>
            <w:vAlign w:val="center"/>
          </w:tcPr>
          <w:p w14:paraId="5C7E9F4B" w14:textId="522DC7DB" w:rsidR="003B2FD1" w:rsidRPr="00E862B3" w:rsidRDefault="00956D8D" w:rsidP="00E862B3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 w:rsidRPr="00E862B3">
              <w:rPr>
                <w:rFonts w:eastAsia="Times New Roman"/>
                <w:sz w:val="20"/>
                <w:szCs w:val="20"/>
              </w:rPr>
              <w:t>89</w:t>
            </w:r>
          </w:p>
        </w:tc>
      </w:tr>
      <w:tr w:rsidR="003B2FD1" w:rsidRPr="00E862B3" w14:paraId="633F4730" w14:textId="77777777" w:rsidTr="00E862B3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4774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1101B17F" w14:textId="5E268DB0" w:rsidR="003B2FD1" w:rsidRPr="00E862B3" w:rsidRDefault="003B2FD1" w:rsidP="003B2FD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 w:rsidRPr="00E862B3">
              <w:rPr>
                <w:rFonts w:ascii="Verdana" w:eastAsia="Times New Roman" w:hAnsi="Verdana"/>
                <w:sz w:val="20"/>
                <w:szCs w:val="20"/>
              </w:rPr>
              <w:t>Direct Mail (no exposure)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9031BCC" w14:textId="67E62430" w:rsidR="003B2FD1" w:rsidRPr="00E862B3" w:rsidRDefault="00956D8D" w:rsidP="00E862B3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 w:rsidRPr="00E862B3">
              <w:rPr>
                <w:rFonts w:eastAsia="Times New Roman"/>
                <w:sz w:val="20"/>
                <w:szCs w:val="20"/>
              </w:rPr>
              <w:t>11.9%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8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574E1F99" w14:textId="444D4CB2" w:rsidR="003B2FD1" w:rsidRPr="00E862B3" w:rsidRDefault="00956D8D" w:rsidP="00E862B3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 w:rsidRPr="00E862B3">
              <w:rPr>
                <w:rFonts w:eastAsia="Times New Roman"/>
                <w:sz w:val="20"/>
                <w:szCs w:val="20"/>
              </w:rPr>
              <w:t>56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B1F1D27" w14:textId="6E2D7242" w:rsidR="003B2FD1" w:rsidRPr="00E862B3" w:rsidRDefault="00956D8D" w:rsidP="00E862B3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 w:rsidRPr="00E862B3">
              <w:rPr>
                <w:rFonts w:eastAsia="Times New Roman"/>
                <w:sz w:val="20"/>
                <w:szCs w:val="20"/>
              </w:rPr>
              <w:t>13.6%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8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23AE4294" w14:textId="74F84DC0" w:rsidR="003B2FD1" w:rsidRPr="00E862B3" w:rsidRDefault="00956D8D" w:rsidP="00E862B3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 w:rsidRPr="00E862B3">
              <w:rPr>
                <w:rFonts w:eastAsia="Times New Roman"/>
                <w:sz w:val="20"/>
                <w:szCs w:val="20"/>
              </w:rPr>
              <w:t>55</w:t>
            </w:r>
          </w:p>
        </w:tc>
      </w:tr>
      <w:tr w:rsidR="003B2FD1" w:rsidRPr="00E862B3" w14:paraId="257E3A26" w14:textId="77777777" w:rsidTr="00E862B3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4774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18" w:space="0" w:color="000000"/>
            </w:tcBorders>
            <w:shd w:val="clear" w:color="auto" w:fill="EAF1DD" w:themeFill="accent3" w:themeFillTint="33"/>
            <w:vAlign w:val="center"/>
          </w:tcPr>
          <w:p w14:paraId="0D9ADB73" w14:textId="5F734B16" w:rsidR="003B2FD1" w:rsidRPr="00E862B3" w:rsidRDefault="003B2FD1" w:rsidP="003B2FD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 w:rsidRPr="00E862B3">
              <w:rPr>
                <w:rFonts w:ascii="Verdana" w:eastAsia="Times New Roman" w:hAnsi="Verdana"/>
                <w:sz w:val="20"/>
                <w:szCs w:val="20"/>
              </w:rPr>
              <w:t>Internet (heavy: 180+ min. avg. day)</w:t>
            </w:r>
          </w:p>
        </w:tc>
        <w:tc>
          <w:tcPr>
            <w:tcW w:w="1083" w:type="dxa"/>
            <w:tcBorders>
              <w:top w:val="single" w:sz="12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08E18A8C" w14:textId="49B6427C" w:rsidR="003B2FD1" w:rsidRPr="00E862B3" w:rsidRDefault="00956D8D" w:rsidP="00E862B3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 w:rsidRPr="00E862B3">
              <w:rPr>
                <w:rFonts w:eastAsia="Times New Roman"/>
                <w:sz w:val="20"/>
                <w:szCs w:val="20"/>
              </w:rPr>
              <w:t>55.3%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EAF1DD" w:themeFill="accent3" w:themeFillTint="33"/>
            <w:vAlign w:val="center"/>
          </w:tcPr>
          <w:p w14:paraId="4F8CC013" w14:textId="587BE119" w:rsidR="003B2FD1" w:rsidRPr="00E862B3" w:rsidRDefault="00956D8D" w:rsidP="00E862B3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 w:rsidRPr="00E862B3">
              <w:rPr>
                <w:rFonts w:eastAsia="Times New Roman"/>
                <w:sz w:val="20"/>
                <w:szCs w:val="20"/>
              </w:rPr>
              <w:t>118</w:t>
            </w:r>
          </w:p>
        </w:tc>
        <w:tc>
          <w:tcPr>
            <w:tcW w:w="1108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65B180FA" w14:textId="16203625" w:rsidR="003B2FD1" w:rsidRPr="00E862B3" w:rsidRDefault="00956D8D" w:rsidP="00E862B3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 w:rsidRPr="00E862B3">
              <w:rPr>
                <w:rFonts w:eastAsia="Times New Roman"/>
                <w:sz w:val="20"/>
                <w:szCs w:val="20"/>
              </w:rPr>
              <w:t>61.7%</w:t>
            </w:r>
          </w:p>
        </w:tc>
        <w:tc>
          <w:tcPr>
            <w:tcW w:w="1052" w:type="dxa"/>
            <w:tcBorders>
              <w:top w:val="single" w:sz="12" w:space="0" w:color="auto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EAF1DD" w:themeFill="accent3" w:themeFillTint="33"/>
            <w:vAlign w:val="center"/>
          </w:tcPr>
          <w:p w14:paraId="65ADDC1F" w14:textId="32E09D92" w:rsidR="003B2FD1" w:rsidRPr="00E862B3" w:rsidRDefault="00956D8D" w:rsidP="00E862B3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 w:rsidRPr="00E862B3">
              <w:rPr>
                <w:rFonts w:eastAsia="Times New Roman"/>
                <w:sz w:val="20"/>
                <w:szCs w:val="20"/>
              </w:rPr>
              <w:t>111</w:t>
            </w:r>
          </w:p>
        </w:tc>
      </w:tr>
      <w:tr w:rsidR="003B2FD1" w:rsidRPr="00E862B3" w14:paraId="03D89306" w14:textId="77777777" w:rsidTr="00E862B3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47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0000"/>
            </w:tcBorders>
            <w:shd w:val="clear" w:color="auto" w:fill="EAF1DD" w:themeFill="accent3" w:themeFillTint="33"/>
            <w:vAlign w:val="center"/>
          </w:tcPr>
          <w:p w14:paraId="76899061" w14:textId="0B434137" w:rsidR="003B2FD1" w:rsidRPr="00E862B3" w:rsidRDefault="003B2FD1" w:rsidP="003B2FD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 w:rsidRPr="00E862B3">
              <w:rPr>
                <w:rFonts w:ascii="Verdana" w:eastAsia="Times New Roman" w:hAnsi="Verdana"/>
                <w:sz w:val="20"/>
                <w:szCs w:val="20"/>
              </w:rPr>
              <w:t>Internet (medium: 60–179 min. avg. day)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1674CB82" w14:textId="3F30B278" w:rsidR="003B2FD1" w:rsidRPr="00E862B3" w:rsidRDefault="00956D8D" w:rsidP="00E862B3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 w:rsidRPr="00E862B3">
              <w:rPr>
                <w:rFonts w:eastAsia="Times New Roman"/>
                <w:sz w:val="20"/>
                <w:szCs w:val="20"/>
              </w:rPr>
              <w:t>37.2%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EAF1DD" w:themeFill="accent3" w:themeFillTint="33"/>
            <w:vAlign w:val="center"/>
          </w:tcPr>
          <w:p w14:paraId="19AFEDDB" w14:textId="676978EF" w:rsidR="003B2FD1" w:rsidRPr="00E862B3" w:rsidRDefault="00956D8D" w:rsidP="00E862B3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 w:rsidRPr="00E862B3">
              <w:rPr>
                <w:rFonts w:eastAsia="Times New Roman"/>
                <w:sz w:val="20"/>
                <w:szCs w:val="20"/>
              </w:rPr>
              <w:t>91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0D44A3CF" w14:textId="51DDAD7B" w:rsidR="003B2FD1" w:rsidRPr="00E862B3" w:rsidRDefault="00956D8D" w:rsidP="00E862B3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 w:rsidRPr="00E862B3">
              <w:rPr>
                <w:rFonts w:eastAsia="Times New Roman"/>
                <w:sz w:val="20"/>
                <w:szCs w:val="20"/>
              </w:rPr>
              <w:t>32.9%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EAF1DD" w:themeFill="accent3" w:themeFillTint="33"/>
            <w:vAlign w:val="center"/>
          </w:tcPr>
          <w:p w14:paraId="1D4CE6FC" w14:textId="1E865140" w:rsidR="003B2FD1" w:rsidRPr="00E862B3" w:rsidRDefault="00956D8D" w:rsidP="00E862B3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 w:rsidRPr="00E862B3">
              <w:rPr>
                <w:rFonts w:eastAsia="Times New Roman"/>
                <w:sz w:val="20"/>
                <w:szCs w:val="20"/>
              </w:rPr>
              <w:t>91</w:t>
            </w:r>
          </w:p>
        </w:tc>
      </w:tr>
      <w:tr w:rsidR="003B2FD1" w:rsidRPr="00E862B3" w14:paraId="24420FE9" w14:textId="77777777" w:rsidTr="00E862B3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47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68CEE3A" w14:textId="0E0570C1" w:rsidR="003B2FD1" w:rsidRPr="00E862B3" w:rsidRDefault="003B2FD1" w:rsidP="003B2FD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E862B3">
              <w:rPr>
                <w:rFonts w:ascii="Verdana" w:eastAsia="Times New Roman" w:hAnsi="Verdana"/>
                <w:sz w:val="20"/>
                <w:szCs w:val="20"/>
              </w:rPr>
              <w:t>Internet (light: 1–59 min. avg. day)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9BDE85" w14:textId="567A872B" w:rsidR="003B2FD1" w:rsidRPr="00E862B3" w:rsidRDefault="00956D8D" w:rsidP="00E862B3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 w:rsidRPr="00E862B3">
              <w:rPr>
                <w:rFonts w:eastAsia="Times New Roman"/>
                <w:sz w:val="20"/>
                <w:szCs w:val="20"/>
              </w:rPr>
              <w:t>6.6%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1B457AE" w14:textId="65B9C0AA" w:rsidR="003B2FD1" w:rsidRPr="00E862B3" w:rsidRDefault="00956D8D" w:rsidP="00E862B3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 w:rsidRPr="00E862B3">
              <w:rPr>
                <w:rFonts w:eastAsia="Times New Roman"/>
                <w:sz w:val="20"/>
                <w:szCs w:val="20"/>
              </w:rPr>
              <w:t>65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E946CFF" w14:textId="57CAFCF6" w:rsidR="003B2FD1" w:rsidRPr="00E862B3" w:rsidRDefault="00956D8D" w:rsidP="00E862B3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 w:rsidRPr="00E862B3">
              <w:rPr>
                <w:rFonts w:eastAsia="Times New Roman"/>
                <w:sz w:val="20"/>
                <w:szCs w:val="20"/>
              </w:rPr>
              <w:t>4.7%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F267B16" w14:textId="2BD6D8A2" w:rsidR="003B2FD1" w:rsidRPr="00E862B3" w:rsidRDefault="00956D8D" w:rsidP="00E862B3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 w:rsidRPr="00E862B3">
              <w:rPr>
                <w:rFonts w:eastAsia="Times New Roman"/>
                <w:sz w:val="20"/>
                <w:szCs w:val="20"/>
              </w:rPr>
              <w:t>71</w:t>
            </w:r>
          </w:p>
        </w:tc>
      </w:tr>
      <w:tr w:rsidR="003B2FD1" w:rsidRPr="00E862B3" w14:paraId="0A7CF2E5" w14:textId="77777777" w:rsidTr="00E862B3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477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5692667" w14:textId="3C278D28" w:rsidR="003B2FD1" w:rsidRPr="00E862B3" w:rsidRDefault="003B2FD1" w:rsidP="003B2FD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 w:rsidRPr="00E862B3">
              <w:rPr>
                <w:rFonts w:ascii="Verdana" w:eastAsia="Times New Roman" w:hAnsi="Verdana"/>
                <w:sz w:val="20"/>
                <w:szCs w:val="20"/>
              </w:rPr>
              <w:t>Internet (no exposure)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F2FF34" w14:textId="50C507C9" w:rsidR="003B2FD1" w:rsidRPr="00E862B3" w:rsidRDefault="00956D8D" w:rsidP="00E862B3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 w:rsidRPr="00E862B3">
              <w:rPr>
                <w:rFonts w:eastAsia="Times New Roman"/>
                <w:sz w:val="20"/>
                <w:szCs w:val="20"/>
              </w:rPr>
              <w:t>0.8%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E355A29" w14:textId="737A6BF9" w:rsidR="003B2FD1" w:rsidRPr="00E862B3" w:rsidRDefault="00956D8D" w:rsidP="00E862B3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 w:rsidRPr="00E862B3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0FD0C2DF" w14:textId="478A75E0" w:rsidR="003B2FD1" w:rsidRPr="00E862B3" w:rsidRDefault="00956D8D" w:rsidP="00E862B3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 w:rsidRPr="00E862B3">
              <w:rPr>
                <w:rFonts w:eastAsia="Times New Roman"/>
                <w:sz w:val="20"/>
                <w:szCs w:val="20"/>
              </w:rPr>
              <w:t>0.7%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6D08EBF" w14:textId="108B6D65" w:rsidR="003B2FD1" w:rsidRPr="00E862B3" w:rsidRDefault="00956D8D" w:rsidP="00E862B3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 w:rsidRPr="00E862B3">
              <w:rPr>
                <w:rFonts w:eastAsia="Times New Roman"/>
                <w:sz w:val="20"/>
                <w:szCs w:val="20"/>
              </w:rPr>
              <w:t>38</w:t>
            </w:r>
          </w:p>
        </w:tc>
      </w:tr>
    </w:tbl>
    <w:p w14:paraId="54DF666E" w14:textId="4FF06979" w:rsidR="00BC26C0" w:rsidRPr="00E862B3" w:rsidRDefault="00956D8D" w:rsidP="00956D8D">
      <w:pPr>
        <w:pStyle w:val="NoSpacing"/>
        <w:tabs>
          <w:tab w:val="left" w:pos="180"/>
        </w:tabs>
        <w:contextualSpacing/>
        <w:rPr>
          <w:sz w:val="20"/>
          <w:szCs w:val="20"/>
        </w:rPr>
      </w:pPr>
      <w:r w:rsidRPr="00E862B3">
        <w:rPr>
          <w:sz w:val="16"/>
          <w:szCs w:val="16"/>
        </w:rPr>
        <w:tab/>
      </w:r>
      <w:r w:rsidR="00BC26C0" w:rsidRPr="00E862B3">
        <w:rPr>
          <w:sz w:val="16"/>
          <w:szCs w:val="16"/>
        </w:rPr>
        <w:t>Based on The Media Audit’s 2019 Rolling Aggregate Survey, February 2019</w:t>
      </w:r>
    </w:p>
    <w:p w14:paraId="41ED1BD7" w14:textId="02A8F1B4" w:rsidR="00BC26C0" w:rsidRPr="00E862B3" w:rsidRDefault="00BC26C0" w:rsidP="00BC26C0">
      <w:pPr>
        <w:pStyle w:val="NoSpacing"/>
        <w:tabs>
          <w:tab w:val="left" w:pos="2070"/>
        </w:tabs>
        <w:contextualSpacing/>
        <w:rPr>
          <w:rFonts w:ascii="Verdana" w:hAnsi="Verdana"/>
          <w:sz w:val="16"/>
          <w:szCs w:val="16"/>
        </w:rPr>
      </w:pPr>
      <w:r w:rsidRPr="00E862B3">
        <w:rPr>
          <w:rFonts w:ascii="Verdana" w:hAnsi="Verdana"/>
          <w:sz w:val="16"/>
          <w:szCs w:val="16"/>
        </w:rPr>
        <w:t xml:space="preserve"> </w:t>
      </w:r>
    </w:p>
    <w:p w14:paraId="3C35B056" w14:textId="77777777" w:rsidR="00F94CE8" w:rsidRPr="00E862B3" w:rsidRDefault="00F94CE8" w:rsidP="00F94CE8">
      <w:pPr>
        <w:pStyle w:val="NoSpacing"/>
        <w:contextualSpacing/>
        <w:rPr>
          <w:sz w:val="20"/>
          <w:szCs w:val="20"/>
        </w:rPr>
      </w:pPr>
    </w:p>
    <w:p w14:paraId="72BAAFC7" w14:textId="6017F7B1" w:rsidR="00F94CE8" w:rsidRPr="00E862B3" w:rsidRDefault="00F94CE8" w:rsidP="00F94CE8">
      <w:pPr>
        <w:spacing w:after="0" w:line="240" w:lineRule="auto"/>
        <w:rPr>
          <w:rFonts w:ascii="Verdana" w:hAnsi="Verdana"/>
          <w:sz w:val="16"/>
          <w:szCs w:val="16"/>
        </w:rPr>
      </w:pPr>
      <w:r w:rsidRPr="00E862B3">
        <w:rPr>
          <w:rFonts w:ascii="Verdana" w:hAnsi="Verdana"/>
          <w:i/>
          <w:sz w:val="16"/>
        </w:rPr>
        <w:t>Sources:</w:t>
      </w:r>
      <w:r w:rsidRPr="00E862B3">
        <w:rPr>
          <w:rFonts w:ascii="Verdana" w:hAnsi="Verdana"/>
          <w:sz w:val="16"/>
        </w:rPr>
        <w:t xml:space="preserve"> </w:t>
      </w:r>
      <w:r w:rsidR="00DA65FB" w:rsidRPr="00E862B3">
        <w:rPr>
          <w:sz w:val="16"/>
          <w:szCs w:val="16"/>
        </w:rPr>
        <w:t xml:space="preserve">US Census Bureau </w:t>
      </w:r>
      <w:r w:rsidRPr="00E862B3">
        <w:rPr>
          <w:rFonts w:ascii="Verdana" w:hAnsi="Verdana"/>
          <w:sz w:val="16"/>
          <w:szCs w:val="16"/>
        </w:rPr>
        <w:t xml:space="preserve">Website, </w:t>
      </w:r>
      <w:r w:rsidR="000D2F3A" w:rsidRPr="00E862B3">
        <w:rPr>
          <w:rFonts w:ascii="Verdana" w:hAnsi="Verdana"/>
          <w:sz w:val="16"/>
          <w:szCs w:val="16"/>
        </w:rPr>
        <w:t>9</w:t>
      </w:r>
      <w:r w:rsidR="00306D88" w:rsidRPr="00E862B3">
        <w:rPr>
          <w:rFonts w:ascii="Verdana" w:hAnsi="Verdana"/>
          <w:sz w:val="16"/>
          <w:szCs w:val="16"/>
        </w:rPr>
        <w:t>/1</w:t>
      </w:r>
      <w:r w:rsidR="002E1F38" w:rsidRPr="00E862B3">
        <w:rPr>
          <w:rFonts w:ascii="Verdana" w:hAnsi="Verdana"/>
          <w:sz w:val="16"/>
          <w:szCs w:val="16"/>
        </w:rPr>
        <w:t>9</w:t>
      </w:r>
      <w:r w:rsidRPr="00E862B3">
        <w:rPr>
          <w:rFonts w:ascii="Verdana" w:hAnsi="Verdana"/>
          <w:sz w:val="16"/>
          <w:szCs w:val="16"/>
        </w:rPr>
        <w:t xml:space="preserve">; </w:t>
      </w:r>
      <w:r w:rsidR="00DA65FB" w:rsidRPr="00E862B3">
        <w:rPr>
          <w:i/>
          <w:sz w:val="16"/>
          <w:szCs w:val="16"/>
        </w:rPr>
        <w:t>Furniture Today</w:t>
      </w:r>
      <w:r w:rsidR="00DA65FB" w:rsidRPr="00E862B3">
        <w:rPr>
          <w:sz w:val="16"/>
          <w:szCs w:val="16"/>
        </w:rPr>
        <w:t xml:space="preserve"> </w:t>
      </w:r>
      <w:r w:rsidRPr="00E862B3">
        <w:rPr>
          <w:rFonts w:ascii="Verdana" w:hAnsi="Verdana"/>
          <w:sz w:val="16"/>
          <w:szCs w:val="16"/>
        </w:rPr>
        <w:t xml:space="preserve">Website, </w:t>
      </w:r>
      <w:r w:rsidR="000D2F3A" w:rsidRPr="00E862B3">
        <w:rPr>
          <w:rFonts w:ascii="Verdana" w:hAnsi="Verdana"/>
          <w:sz w:val="16"/>
          <w:szCs w:val="16"/>
        </w:rPr>
        <w:t>9</w:t>
      </w:r>
      <w:r w:rsidR="00306D88" w:rsidRPr="00E862B3">
        <w:rPr>
          <w:rFonts w:ascii="Verdana" w:hAnsi="Verdana"/>
          <w:sz w:val="16"/>
          <w:szCs w:val="16"/>
        </w:rPr>
        <w:t>/1</w:t>
      </w:r>
      <w:r w:rsidR="002E1F38" w:rsidRPr="00E862B3">
        <w:rPr>
          <w:rFonts w:ascii="Verdana" w:hAnsi="Verdana"/>
          <w:sz w:val="16"/>
          <w:szCs w:val="16"/>
        </w:rPr>
        <w:t>9</w:t>
      </w:r>
      <w:r w:rsidRPr="00E862B3">
        <w:rPr>
          <w:rFonts w:ascii="Verdana" w:hAnsi="Verdana"/>
          <w:sz w:val="16"/>
          <w:szCs w:val="16"/>
        </w:rPr>
        <w:t xml:space="preserve">; </w:t>
      </w:r>
      <w:r w:rsidR="00DA65FB" w:rsidRPr="00E862B3">
        <w:rPr>
          <w:sz w:val="16"/>
          <w:szCs w:val="16"/>
        </w:rPr>
        <w:t xml:space="preserve">Smith Leonard </w:t>
      </w:r>
      <w:r w:rsidRPr="00E862B3">
        <w:rPr>
          <w:rFonts w:ascii="Verdana" w:hAnsi="Verdana"/>
          <w:sz w:val="16"/>
          <w:szCs w:val="16"/>
        </w:rPr>
        <w:t>Website</w:t>
      </w:r>
      <w:r w:rsidR="00A00453" w:rsidRPr="00E862B3">
        <w:rPr>
          <w:rFonts w:ascii="Verdana" w:hAnsi="Verdana"/>
          <w:sz w:val="16"/>
          <w:szCs w:val="16"/>
        </w:rPr>
        <w:t xml:space="preserve">, </w:t>
      </w:r>
      <w:r w:rsidR="000D2F3A" w:rsidRPr="00E862B3">
        <w:rPr>
          <w:rFonts w:ascii="Verdana" w:hAnsi="Verdana"/>
          <w:sz w:val="16"/>
          <w:szCs w:val="16"/>
        </w:rPr>
        <w:t>9</w:t>
      </w:r>
      <w:r w:rsidR="00306D88" w:rsidRPr="00E862B3">
        <w:rPr>
          <w:rFonts w:ascii="Verdana" w:hAnsi="Verdana"/>
          <w:sz w:val="16"/>
          <w:szCs w:val="16"/>
        </w:rPr>
        <w:t>/1</w:t>
      </w:r>
      <w:r w:rsidR="002E1F38" w:rsidRPr="00E862B3">
        <w:rPr>
          <w:rFonts w:ascii="Verdana" w:hAnsi="Verdana"/>
          <w:sz w:val="16"/>
          <w:szCs w:val="16"/>
        </w:rPr>
        <w:t>9</w:t>
      </w:r>
      <w:r w:rsidR="00DA65FB" w:rsidRPr="00E862B3">
        <w:rPr>
          <w:rFonts w:ascii="Verdana" w:hAnsi="Verdana"/>
          <w:sz w:val="16"/>
          <w:szCs w:val="16"/>
        </w:rPr>
        <w:t xml:space="preserve">; </w:t>
      </w:r>
      <w:r w:rsidR="00DA65FB" w:rsidRPr="00E862B3">
        <w:rPr>
          <w:sz w:val="16"/>
          <w:szCs w:val="16"/>
        </w:rPr>
        <w:t>Statista Website</w:t>
      </w:r>
      <w:r w:rsidR="00DA65FB" w:rsidRPr="00E862B3">
        <w:rPr>
          <w:rFonts w:ascii="Verdana" w:hAnsi="Verdana"/>
          <w:sz w:val="16"/>
          <w:szCs w:val="16"/>
        </w:rPr>
        <w:t>, 9/19;</w:t>
      </w:r>
      <w:r w:rsidR="00DA65FB" w:rsidRPr="00E862B3">
        <w:rPr>
          <w:sz w:val="16"/>
          <w:szCs w:val="16"/>
        </w:rPr>
        <w:t xml:space="preserve"> CNBC Website</w:t>
      </w:r>
      <w:r w:rsidR="00DA65FB" w:rsidRPr="00E862B3">
        <w:rPr>
          <w:rFonts w:ascii="Verdana" w:hAnsi="Verdana"/>
          <w:sz w:val="16"/>
          <w:szCs w:val="16"/>
        </w:rPr>
        <w:t>, 9/19;</w:t>
      </w:r>
      <w:r w:rsidR="00DA65FB" w:rsidRPr="00E862B3">
        <w:rPr>
          <w:sz w:val="16"/>
          <w:szCs w:val="16"/>
        </w:rPr>
        <w:t xml:space="preserve"> National Association of Realtors Website</w:t>
      </w:r>
      <w:r w:rsidR="00DA65FB" w:rsidRPr="00E862B3">
        <w:rPr>
          <w:rFonts w:ascii="Verdana" w:hAnsi="Verdana"/>
          <w:sz w:val="16"/>
          <w:szCs w:val="16"/>
        </w:rPr>
        <w:t>, 9/19;</w:t>
      </w:r>
      <w:r w:rsidR="00DA65FB" w:rsidRPr="00E862B3">
        <w:rPr>
          <w:sz w:val="16"/>
          <w:szCs w:val="16"/>
        </w:rPr>
        <w:t xml:space="preserve"> Valassis Website</w:t>
      </w:r>
      <w:r w:rsidR="00DA65FB" w:rsidRPr="00E862B3">
        <w:rPr>
          <w:rFonts w:ascii="Verdana" w:hAnsi="Verdana"/>
          <w:sz w:val="16"/>
          <w:szCs w:val="16"/>
        </w:rPr>
        <w:t>, 9/19;</w:t>
      </w:r>
      <w:r w:rsidR="00DA65FB" w:rsidRPr="00E862B3">
        <w:rPr>
          <w:sz w:val="16"/>
          <w:szCs w:val="16"/>
        </w:rPr>
        <w:t xml:space="preserve"> The Media Audit Website</w:t>
      </w:r>
      <w:r w:rsidR="00DA65FB" w:rsidRPr="00E862B3">
        <w:rPr>
          <w:rFonts w:ascii="Verdana" w:hAnsi="Verdana"/>
          <w:sz w:val="16"/>
          <w:szCs w:val="16"/>
        </w:rPr>
        <w:t>, 9/19;</w:t>
      </w:r>
      <w:r w:rsidR="00DA65FB" w:rsidRPr="00E862B3">
        <w:rPr>
          <w:sz w:val="16"/>
          <w:szCs w:val="16"/>
        </w:rPr>
        <w:t xml:space="preserve"> Walker Sands Communications Website</w:t>
      </w:r>
      <w:r w:rsidR="00DA65FB" w:rsidRPr="00E862B3">
        <w:rPr>
          <w:rFonts w:ascii="Verdana" w:hAnsi="Verdana"/>
          <w:sz w:val="16"/>
          <w:szCs w:val="16"/>
        </w:rPr>
        <w:t>, 9/19;</w:t>
      </w:r>
      <w:r w:rsidR="00DA65FB" w:rsidRPr="00E862B3">
        <w:rPr>
          <w:sz w:val="16"/>
          <w:szCs w:val="16"/>
        </w:rPr>
        <w:t xml:space="preserve"> </w:t>
      </w:r>
      <w:r w:rsidR="00DA65FB" w:rsidRPr="00E862B3">
        <w:rPr>
          <w:i/>
          <w:sz w:val="16"/>
          <w:szCs w:val="16"/>
        </w:rPr>
        <w:t>ADWEEK</w:t>
      </w:r>
      <w:r w:rsidR="00DA65FB" w:rsidRPr="00E862B3">
        <w:rPr>
          <w:sz w:val="16"/>
          <w:szCs w:val="16"/>
        </w:rPr>
        <w:t xml:space="preserve"> Website</w:t>
      </w:r>
      <w:r w:rsidR="00DA65FB" w:rsidRPr="00E862B3">
        <w:rPr>
          <w:rFonts w:ascii="Verdana" w:hAnsi="Verdana"/>
          <w:sz w:val="16"/>
          <w:szCs w:val="16"/>
        </w:rPr>
        <w:t>, 9/19;</w:t>
      </w:r>
      <w:r w:rsidR="00DA65FB" w:rsidRPr="00E862B3">
        <w:rPr>
          <w:sz w:val="16"/>
          <w:szCs w:val="16"/>
        </w:rPr>
        <w:t xml:space="preserve"> eMarketer Website</w:t>
      </w:r>
      <w:r w:rsidR="00DA65FB" w:rsidRPr="00E862B3">
        <w:rPr>
          <w:rFonts w:ascii="Verdana" w:hAnsi="Verdana"/>
          <w:sz w:val="16"/>
          <w:szCs w:val="16"/>
        </w:rPr>
        <w:t>, 9/19;</w:t>
      </w:r>
      <w:r w:rsidR="00DA65FB" w:rsidRPr="00E862B3">
        <w:rPr>
          <w:sz w:val="16"/>
          <w:szCs w:val="16"/>
        </w:rPr>
        <w:t xml:space="preserve"> Retail Dive Website</w:t>
      </w:r>
      <w:r w:rsidR="00DA65FB" w:rsidRPr="00E862B3">
        <w:rPr>
          <w:rFonts w:ascii="Verdana" w:hAnsi="Verdana"/>
          <w:sz w:val="16"/>
          <w:szCs w:val="16"/>
        </w:rPr>
        <w:t>, 9/19.</w:t>
      </w:r>
    </w:p>
    <w:p w14:paraId="7EF64BA4" w14:textId="77777777" w:rsidR="00F94CE8" w:rsidRPr="00E862B3" w:rsidRDefault="00F94CE8" w:rsidP="00F94CE8">
      <w:pPr>
        <w:spacing w:after="0" w:line="240" w:lineRule="auto"/>
        <w:rPr>
          <w:rFonts w:ascii="Verdana" w:hAnsi="Verdana"/>
          <w:sz w:val="16"/>
        </w:rPr>
      </w:pPr>
    </w:p>
    <w:p w14:paraId="49C0D793" w14:textId="4078C2D6" w:rsidR="00F94CE8" w:rsidRPr="00E862B3" w:rsidRDefault="00F94CE8" w:rsidP="00F94CE8">
      <w:pPr>
        <w:spacing w:after="0" w:line="240" w:lineRule="auto"/>
        <w:rPr>
          <w:rFonts w:ascii="Verdana" w:hAnsi="Verdana"/>
          <w:strike/>
          <w:sz w:val="16"/>
        </w:rPr>
      </w:pPr>
      <w:r w:rsidRPr="00E862B3">
        <w:rPr>
          <w:rFonts w:ascii="Verdana" w:hAnsi="Verdana"/>
          <w:i/>
          <w:sz w:val="16"/>
        </w:rPr>
        <w:t>Updated</w:t>
      </w:r>
      <w:r w:rsidR="003F0FE1" w:rsidRPr="00E862B3">
        <w:rPr>
          <w:rFonts w:ascii="Verdana" w:hAnsi="Verdana"/>
          <w:sz w:val="16"/>
        </w:rPr>
        <w:t xml:space="preserve">: </w:t>
      </w:r>
      <w:r w:rsidR="000D2F3A" w:rsidRPr="00E862B3">
        <w:rPr>
          <w:rFonts w:ascii="Verdana" w:hAnsi="Verdana"/>
          <w:sz w:val="16"/>
        </w:rPr>
        <w:t>September</w:t>
      </w:r>
      <w:r w:rsidR="002E1F38" w:rsidRPr="00E862B3">
        <w:rPr>
          <w:rFonts w:ascii="Verdana" w:hAnsi="Verdana"/>
          <w:sz w:val="16"/>
        </w:rPr>
        <w:t xml:space="preserve"> 2019</w:t>
      </w:r>
    </w:p>
    <w:p w14:paraId="061B0C21" w14:textId="77777777" w:rsidR="00F94CE8" w:rsidRPr="00E862B3" w:rsidRDefault="00F94CE8" w:rsidP="00F94CE8">
      <w:pPr>
        <w:pStyle w:val="NoSpacing"/>
        <w:contextualSpacing/>
        <w:rPr>
          <w:sz w:val="20"/>
          <w:szCs w:val="20"/>
        </w:rPr>
      </w:pPr>
    </w:p>
    <w:p w14:paraId="56AD0CC7" w14:textId="36A96073" w:rsidR="00F94CE8" w:rsidRPr="00E862B3" w:rsidRDefault="00F94CE8" w:rsidP="00F94CE8">
      <w:pPr>
        <w:pStyle w:val="NoSpacing"/>
        <w:contextualSpacing/>
        <w:rPr>
          <w:sz w:val="16"/>
          <w:szCs w:val="16"/>
        </w:rPr>
      </w:pPr>
      <w:r w:rsidRPr="00E862B3">
        <w:rPr>
          <w:rFonts w:ascii="Verdana" w:hAnsi="Verdana"/>
          <w:sz w:val="16"/>
          <w:szCs w:val="16"/>
        </w:rPr>
        <w:t>©</w:t>
      </w:r>
      <w:r w:rsidR="00306D88" w:rsidRPr="00E862B3">
        <w:rPr>
          <w:sz w:val="16"/>
          <w:szCs w:val="16"/>
        </w:rPr>
        <w:t xml:space="preserve"> 201</w:t>
      </w:r>
      <w:r w:rsidR="00875007" w:rsidRPr="00E862B3">
        <w:rPr>
          <w:sz w:val="16"/>
          <w:szCs w:val="16"/>
        </w:rPr>
        <w:t>9</w:t>
      </w:r>
      <w:r w:rsidRPr="00E862B3">
        <w:rPr>
          <w:sz w:val="16"/>
          <w:szCs w:val="16"/>
        </w:rPr>
        <w:t xml:space="preserve"> Media Group Online, Inc. All rights reserved.</w:t>
      </w:r>
    </w:p>
    <w:p w14:paraId="47D01060" w14:textId="64A6C5D5" w:rsidR="00F94CE8" w:rsidRPr="00E862B3" w:rsidRDefault="00F94CE8" w:rsidP="00260DE9">
      <w:pPr>
        <w:pStyle w:val="NoSpacing"/>
        <w:rPr>
          <w:sz w:val="20"/>
          <w:szCs w:val="20"/>
        </w:rPr>
      </w:pPr>
    </w:p>
    <w:p w14:paraId="6D0066ED" w14:textId="4379772D" w:rsidR="00AE1F72" w:rsidRPr="00E862B3" w:rsidRDefault="00AE1F72" w:rsidP="00260DE9">
      <w:pPr>
        <w:pStyle w:val="NoSpacing"/>
        <w:rPr>
          <w:sz w:val="20"/>
          <w:szCs w:val="20"/>
        </w:rPr>
      </w:pPr>
    </w:p>
    <w:p w14:paraId="25DDD48A" w14:textId="4A2F67C8" w:rsidR="00AE1F72" w:rsidRPr="00E862B3" w:rsidRDefault="00AE1F72">
      <w:pPr>
        <w:rPr>
          <w:sz w:val="20"/>
          <w:szCs w:val="20"/>
        </w:rPr>
      </w:pPr>
      <w:r w:rsidRPr="00E862B3">
        <w:rPr>
          <w:sz w:val="20"/>
          <w:szCs w:val="20"/>
        </w:rPr>
        <w:br w:type="page"/>
      </w:r>
    </w:p>
    <w:p w14:paraId="392FDD45" w14:textId="77777777" w:rsidR="00AE1F72" w:rsidRPr="00E862B3" w:rsidRDefault="00AE1F72" w:rsidP="00AE1F72">
      <w:pPr>
        <w:pStyle w:val="NoSpacing"/>
        <w:jc w:val="center"/>
        <w:rPr>
          <w:b/>
          <w:color w:val="0070C0"/>
          <w:sz w:val="20"/>
          <w:szCs w:val="20"/>
        </w:rPr>
      </w:pPr>
      <w:r w:rsidRPr="00E862B3">
        <w:rPr>
          <w:b/>
          <w:color w:val="0070C0"/>
          <w:sz w:val="20"/>
          <w:szCs w:val="20"/>
        </w:rPr>
        <w:lastRenderedPageBreak/>
        <w:t>For Your Local and Station Information</w:t>
      </w:r>
    </w:p>
    <w:p w14:paraId="17AD3F99" w14:textId="77777777" w:rsidR="00AE1F72" w:rsidRPr="00E862B3" w:rsidRDefault="00AE1F72" w:rsidP="00260DE9">
      <w:pPr>
        <w:pStyle w:val="NoSpacing"/>
        <w:rPr>
          <w:sz w:val="20"/>
          <w:szCs w:val="20"/>
        </w:rPr>
      </w:pPr>
    </w:p>
    <w:sectPr w:rsidR="00AE1F72" w:rsidRPr="00E862B3" w:rsidSect="00260DE9">
      <w:headerReference w:type="default" r:id="rId8"/>
      <w:footerReference w:type="default" r:id="rId9"/>
      <w:pgSz w:w="12240" w:h="15840" w:code="1"/>
      <w:pgMar w:top="2160" w:right="1440" w:bottom="1440" w:left="1440" w:header="144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8F5249" w14:textId="77777777" w:rsidR="006353B4" w:rsidRDefault="006353B4" w:rsidP="00260DE9">
      <w:pPr>
        <w:spacing w:after="0" w:line="240" w:lineRule="auto"/>
      </w:pPr>
      <w:r>
        <w:separator/>
      </w:r>
    </w:p>
  </w:endnote>
  <w:endnote w:type="continuationSeparator" w:id="0">
    <w:p w14:paraId="2BF471C6" w14:textId="77777777" w:rsidR="006353B4" w:rsidRDefault="006353B4" w:rsidP="00260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B63B7" w14:textId="77777777" w:rsidR="008D2FA3" w:rsidRDefault="008D2FA3" w:rsidP="003E2E9B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inline distT="0" distB="0" distL="0" distR="0" wp14:anchorId="4724D9F8" wp14:editId="6BCACCF1">
          <wp:extent cx="300990" cy="300990"/>
          <wp:effectExtent l="19050" t="0" r="3810" b="0"/>
          <wp:docPr id="4" name="Picture 3" descr="MGOlogoBlack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GOlogoBlackC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0942" cy="3009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8D5080" w14:textId="77777777" w:rsidR="008D2FA3" w:rsidRPr="0097480E" w:rsidRDefault="008D2FA3" w:rsidP="00EF6AB9">
    <w:pPr>
      <w:pStyle w:val="Footer"/>
      <w:jc w:val="center"/>
      <w:rPr>
        <w:rFonts w:ascii="Arial" w:hAnsi="Arial" w:cs="Arial"/>
        <w:sz w:val="16"/>
        <w:szCs w:val="16"/>
      </w:rPr>
    </w:pPr>
    <w:r w:rsidRPr="0097480E">
      <w:rPr>
        <w:rFonts w:ascii="Arial" w:hAnsi="Arial" w:cs="Arial"/>
        <w:sz w:val="16"/>
        <w:szCs w:val="16"/>
        <w:shd w:val="clear" w:color="auto" w:fill="FFFFFF"/>
      </w:rPr>
      <w:t>Media Group Online, Inc.</w:t>
    </w:r>
    <w:r w:rsidRPr="0097480E">
      <w:rPr>
        <w:rFonts w:ascii="Arial" w:hAnsi="Arial" w:cs="Arial"/>
        <w:sz w:val="16"/>
        <w:szCs w:val="16"/>
      </w:rPr>
      <w:t xml:space="preserve">• </w:t>
    </w:r>
    <w:r w:rsidRPr="0097480E">
      <w:rPr>
        <w:rFonts w:ascii="Arial" w:hAnsi="Arial" w:cs="Arial"/>
        <w:sz w:val="16"/>
        <w:szCs w:val="16"/>
        <w:shd w:val="clear" w:color="auto" w:fill="FFFFFF"/>
      </w:rPr>
      <w:t>103 Sterling Mine Rd.</w:t>
    </w:r>
    <w:r w:rsidRPr="0097480E">
      <w:rPr>
        <w:rFonts w:ascii="Arial" w:hAnsi="Arial" w:cs="Arial"/>
        <w:sz w:val="16"/>
        <w:szCs w:val="16"/>
      </w:rPr>
      <w:t xml:space="preserve">• </w:t>
    </w:r>
    <w:r w:rsidRPr="0097480E">
      <w:rPr>
        <w:rFonts w:ascii="Arial" w:hAnsi="Arial" w:cs="Arial"/>
        <w:sz w:val="16"/>
        <w:szCs w:val="16"/>
        <w:shd w:val="clear" w:color="auto" w:fill="FFFFFF"/>
      </w:rPr>
      <w:t xml:space="preserve">Sloatsburg, NY 10974 </w:t>
    </w:r>
    <w:r w:rsidRPr="0097480E">
      <w:rPr>
        <w:rFonts w:ascii="Arial" w:hAnsi="Arial" w:cs="Arial"/>
        <w:sz w:val="16"/>
        <w:szCs w:val="16"/>
      </w:rPr>
      <w:t>• Tel 866-921-1026 • Fax 845-712-5168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E5C19C" w14:textId="77777777" w:rsidR="006353B4" w:rsidRDefault="006353B4" w:rsidP="00260DE9">
      <w:pPr>
        <w:spacing w:after="0" w:line="240" w:lineRule="auto"/>
      </w:pPr>
      <w:r>
        <w:separator/>
      </w:r>
    </w:p>
  </w:footnote>
  <w:footnote w:type="continuationSeparator" w:id="0">
    <w:p w14:paraId="7BEEC9EB" w14:textId="77777777" w:rsidR="006353B4" w:rsidRDefault="006353B4" w:rsidP="00260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3DC73" w14:textId="77777777" w:rsidR="008D2FA3" w:rsidRDefault="008D2FA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7BDB21C" wp14:editId="7366BB1A">
          <wp:simplePos x="0" y="0"/>
          <wp:positionH relativeFrom="column">
            <wp:posOffset>-638175</wp:posOffset>
          </wp:positionH>
          <wp:positionV relativeFrom="paragraph">
            <wp:posOffset>-771525</wp:posOffset>
          </wp:positionV>
          <wp:extent cx="5943600" cy="1192530"/>
          <wp:effectExtent l="0" t="0" r="0" b="0"/>
          <wp:wrapTight wrapText="bothSides">
            <wp:wrapPolygon edited="0">
              <wp:start x="1454" y="0"/>
              <wp:lineTo x="1038" y="690"/>
              <wp:lineTo x="69" y="4486"/>
              <wp:lineTo x="0" y="7936"/>
              <wp:lineTo x="0" y="13802"/>
              <wp:lineTo x="138" y="17252"/>
              <wp:lineTo x="1177" y="21393"/>
              <wp:lineTo x="1385" y="21393"/>
              <wp:lineTo x="2838" y="21393"/>
              <wp:lineTo x="8931" y="16907"/>
              <wp:lineTo x="21531" y="15872"/>
              <wp:lineTo x="21531" y="6901"/>
              <wp:lineTo x="19938" y="4831"/>
              <wp:lineTo x="2838" y="0"/>
              <wp:lineTo x="1454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GOProfilerHeader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192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37B6C7E"/>
    <w:multiLevelType w:val="hybridMultilevel"/>
    <w:tmpl w:val="CF0A3A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7D4709"/>
    <w:multiLevelType w:val="hybridMultilevel"/>
    <w:tmpl w:val="B20275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56A10EA"/>
    <w:multiLevelType w:val="hybridMultilevel"/>
    <w:tmpl w:val="3F16BA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8C944CE"/>
    <w:multiLevelType w:val="hybridMultilevel"/>
    <w:tmpl w:val="99D64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6F73E3"/>
    <w:multiLevelType w:val="hybridMultilevel"/>
    <w:tmpl w:val="26FE5C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BA30CF7"/>
    <w:multiLevelType w:val="hybridMultilevel"/>
    <w:tmpl w:val="C3925A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6877B3A"/>
    <w:multiLevelType w:val="hybridMultilevel"/>
    <w:tmpl w:val="FA900C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4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DE9"/>
    <w:rsid w:val="000052A8"/>
    <w:rsid w:val="00052B9A"/>
    <w:rsid w:val="000577D6"/>
    <w:rsid w:val="000830D7"/>
    <w:rsid w:val="000B2DB1"/>
    <w:rsid w:val="000D2F3A"/>
    <w:rsid w:val="000D7C07"/>
    <w:rsid w:val="00112A85"/>
    <w:rsid w:val="00124BD7"/>
    <w:rsid w:val="0015046A"/>
    <w:rsid w:val="001608F3"/>
    <w:rsid w:val="0019271F"/>
    <w:rsid w:val="001B64B0"/>
    <w:rsid w:val="001F008B"/>
    <w:rsid w:val="00260DE9"/>
    <w:rsid w:val="0026348E"/>
    <w:rsid w:val="00294474"/>
    <w:rsid w:val="002A4A73"/>
    <w:rsid w:val="002A4CD3"/>
    <w:rsid w:val="002A6286"/>
    <w:rsid w:val="002E1F38"/>
    <w:rsid w:val="00306D88"/>
    <w:rsid w:val="003072C2"/>
    <w:rsid w:val="00323236"/>
    <w:rsid w:val="003A402E"/>
    <w:rsid w:val="003B2FD1"/>
    <w:rsid w:val="003B417B"/>
    <w:rsid w:val="003C15ED"/>
    <w:rsid w:val="003D6958"/>
    <w:rsid w:val="003E2E9B"/>
    <w:rsid w:val="003F0FE1"/>
    <w:rsid w:val="00412473"/>
    <w:rsid w:val="00422A36"/>
    <w:rsid w:val="0045212B"/>
    <w:rsid w:val="0046193A"/>
    <w:rsid w:val="00467285"/>
    <w:rsid w:val="00494CA5"/>
    <w:rsid w:val="00495466"/>
    <w:rsid w:val="004C1FBD"/>
    <w:rsid w:val="00520014"/>
    <w:rsid w:val="00544819"/>
    <w:rsid w:val="00571D6A"/>
    <w:rsid w:val="00596832"/>
    <w:rsid w:val="006353B4"/>
    <w:rsid w:val="00635FF3"/>
    <w:rsid w:val="00637CB9"/>
    <w:rsid w:val="00657B52"/>
    <w:rsid w:val="006E6275"/>
    <w:rsid w:val="00702DB7"/>
    <w:rsid w:val="007257B5"/>
    <w:rsid w:val="00743A94"/>
    <w:rsid w:val="007862CF"/>
    <w:rsid w:val="00793BD0"/>
    <w:rsid w:val="007B6E29"/>
    <w:rsid w:val="007D3185"/>
    <w:rsid w:val="00875007"/>
    <w:rsid w:val="0088505B"/>
    <w:rsid w:val="0089324F"/>
    <w:rsid w:val="008A7FFD"/>
    <w:rsid w:val="008D2FA3"/>
    <w:rsid w:val="009229BB"/>
    <w:rsid w:val="00931A86"/>
    <w:rsid w:val="009419F0"/>
    <w:rsid w:val="00956D8D"/>
    <w:rsid w:val="0097480E"/>
    <w:rsid w:val="009A3EBE"/>
    <w:rsid w:val="009A6479"/>
    <w:rsid w:val="009D5DEA"/>
    <w:rsid w:val="00A00453"/>
    <w:rsid w:val="00A031C1"/>
    <w:rsid w:val="00A12BB9"/>
    <w:rsid w:val="00A55AAE"/>
    <w:rsid w:val="00A71026"/>
    <w:rsid w:val="00A914FF"/>
    <w:rsid w:val="00AB1210"/>
    <w:rsid w:val="00AE087E"/>
    <w:rsid w:val="00AE1F72"/>
    <w:rsid w:val="00AE71B7"/>
    <w:rsid w:val="00B33B46"/>
    <w:rsid w:val="00B364FE"/>
    <w:rsid w:val="00BC0DB8"/>
    <w:rsid w:val="00BC26C0"/>
    <w:rsid w:val="00BE4BEC"/>
    <w:rsid w:val="00BE6652"/>
    <w:rsid w:val="00C147E3"/>
    <w:rsid w:val="00C21D13"/>
    <w:rsid w:val="00C54007"/>
    <w:rsid w:val="00CE3B31"/>
    <w:rsid w:val="00D17DB0"/>
    <w:rsid w:val="00D26223"/>
    <w:rsid w:val="00D34348"/>
    <w:rsid w:val="00D40CF5"/>
    <w:rsid w:val="00DA65FB"/>
    <w:rsid w:val="00DC4F7C"/>
    <w:rsid w:val="00DE0FDD"/>
    <w:rsid w:val="00E104AB"/>
    <w:rsid w:val="00E31C88"/>
    <w:rsid w:val="00E32D7E"/>
    <w:rsid w:val="00E45F8D"/>
    <w:rsid w:val="00E637E9"/>
    <w:rsid w:val="00E73728"/>
    <w:rsid w:val="00E862B3"/>
    <w:rsid w:val="00E9269F"/>
    <w:rsid w:val="00EA1F69"/>
    <w:rsid w:val="00EB6340"/>
    <w:rsid w:val="00ED42A4"/>
    <w:rsid w:val="00EF6801"/>
    <w:rsid w:val="00EF6AB9"/>
    <w:rsid w:val="00F25678"/>
    <w:rsid w:val="00F2704A"/>
    <w:rsid w:val="00F70E29"/>
    <w:rsid w:val="00F94CE8"/>
    <w:rsid w:val="00FA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90252B"/>
  <w15:docId w15:val="{00033884-83A0-4105-8CD5-C8A13830D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052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60D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60DE9"/>
  </w:style>
  <w:style w:type="paragraph" w:styleId="Footer">
    <w:name w:val="footer"/>
    <w:basedOn w:val="Normal"/>
    <w:link w:val="FooterChar"/>
    <w:uiPriority w:val="99"/>
    <w:unhideWhenUsed/>
    <w:rsid w:val="00260D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DE9"/>
  </w:style>
  <w:style w:type="paragraph" w:styleId="NoSpacing">
    <w:name w:val="No Spacing"/>
    <w:uiPriority w:val="1"/>
    <w:qFormat/>
    <w:rsid w:val="00260DE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2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E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12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AA6F1E-29C4-7D4E-A802-50319F5E2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1430</Words>
  <Characters>8153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 Whelan</dc:creator>
  <cp:lastModifiedBy>Bob Sillick</cp:lastModifiedBy>
  <cp:revision>2</cp:revision>
  <dcterms:created xsi:type="dcterms:W3CDTF">2019-10-02T17:27:00Z</dcterms:created>
  <dcterms:modified xsi:type="dcterms:W3CDTF">2019-10-02T17:27:00Z</dcterms:modified>
</cp:coreProperties>
</file>