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9F06" w14:textId="1B0EB5A4" w:rsidR="00F94CE8" w:rsidRPr="00EA09A1" w:rsidRDefault="006B025B" w:rsidP="00F94CE8">
      <w:pPr>
        <w:pStyle w:val="NoSpacing"/>
        <w:rPr>
          <w:sz w:val="20"/>
          <w:szCs w:val="20"/>
        </w:rPr>
      </w:pPr>
      <w:r w:rsidRPr="00EA09A1">
        <w:rPr>
          <w:b/>
          <w:color w:val="FF0000"/>
          <w:sz w:val="20"/>
          <w:szCs w:val="20"/>
        </w:rPr>
        <w:t>Late Holiday Shopping 2019: The Final Push</w:t>
      </w:r>
    </w:p>
    <w:p w14:paraId="79457408" w14:textId="77777777" w:rsidR="00260DE9" w:rsidRPr="00EA09A1" w:rsidRDefault="00260DE9" w:rsidP="00EA72B7">
      <w:pPr>
        <w:pStyle w:val="NoSpacing"/>
        <w:contextualSpacing/>
        <w:mirrorIndents/>
        <w:rPr>
          <w:rFonts w:ascii="Verdana" w:hAnsi="Verdana"/>
          <w:sz w:val="20"/>
          <w:szCs w:val="20"/>
        </w:rPr>
      </w:pPr>
    </w:p>
    <w:p w14:paraId="4B7F737F" w14:textId="77777777" w:rsidR="00EA72B7" w:rsidRPr="00EA09A1" w:rsidRDefault="00EA72B7" w:rsidP="00EA72B7">
      <w:pPr>
        <w:spacing w:after="0" w:line="240" w:lineRule="auto"/>
        <w:contextualSpacing/>
        <w:mirrorIndents/>
        <w:jc w:val="center"/>
        <w:rPr>
          <w:rFonts w:ascii="Verdana" w:hAnsi="Verdana"/>
          <w:b/>
          <w:color w:val="0070C0"/>
          <w:sz w:val="20"/>
          <w:szCs w:val="20"/>
        </w:rPr>
      </w:pPr>
      <w:r w:rsidRPr="00EA09A1">
        <w:rPr>
          <w:rFonts w:ascii="Verdana" w:hAnsi="Verdana"/>
          <w:b/>
          <w:color w:val="0070C0"/>
          <w:sz w:val="20"/>
          <w:szCs w:val="20"/>
        </w:rPr>
        <w:t>Latest Predictions, Projections and Prognostications</w:t>
      </w:r>
    </w:p>
    <w:p w14:paraId="737EBC87" w14:textId="77777777" w:rsidR="00EA72B7" w:rsidRPr="00EA09A1" w:rsidRDefault="00EA72B7" w:rsidP="00EA72B7">
      <w:pPr>
        <w:spacing w:after="0" w:line="240" w:lineRule="auto"/>
        <w:contextualSpacing/>
        <w:mirrorIndents/>
        <w:rPr>
          <w:rFonts w:ascii="Verdana" w:hAnsi="Verdana"/>
          <w:sz w:val="20"/>
          <w:szCs w:val="20"/>
        </w:rPr>
      </w:pPr>
    </w:p>
    <w:p w14:paraId="6291CFFF" w14:textId="54346C7F" w:rsidR="00EA72B7" w:rsidRPr="00EA09A1" w:rsidRDefault="009A50DA" w:rsidP="009A50DA">
      <w:pPr>
        <w:pStyle w:val="ListParagraph"/>
        <w:numPr>
          <w:ilvl w:val="0"/>
          <w:numId w:val="1"/>
        </w:numPr>
        <w:spacing w:after="0" w:line="240" w:lineRule="auto"/>
        <w:mirrorIndents/>
        <w:rPr>
          <w:rFonts w:ascii="Verdana" w:hAnsi="Verdana"/>
          <w:sz w:val="20"/>
          <w:szCs w:val="20"/>
        </w:rPr>
      </w:pPr>
      <w:r w:rsidRPr="00EA09A1">
        <w:rPr>
          <w:rFonts w:ascii="Verdana" w:hAnsi="Verdana"/>
          <w:sz w:val="20"/>
          <w:szCs w:val="20"/>
        </w:rPr>
        <w:t>Since Media Group Online’s Early Holiday Shopping 2019 Profilers, the National Retail Federation (NRF) has announced its forecast for holiday 2019 retail sales (November and December) is a 3.8% to 4.2% increase, which would total approximately $730 billion.</w:t>
      </w:r>
    </w:p>
    <w:p w14:paraId="119BB479" w14:textId="77777777" w:rsidR="00EA72B7" w:rsidRPr="00EA09A1" w:rsidRDefault="00EA72B7" w:rsidP="00EA72B7">
      <w:pPr>
        <w:spacing w:after="0" w:line="240" w:lineRule="auto"/>
        <w:contextualSpacing/>
        <w:mirrorIndents/>
        <w:rPr>
          <w:rFonts w:ascii="Verdana" w:hAnsi="Verdana"/>
          <w:sz w:val="20"/>
          <w:szCs w:val="20"/>
        </w:rPr>
      </w:pPr>
    </w:p>
    <w:p w14:paraId="1A6F7BE1" w14:textId="2295BF6D" w:rsidR="00EA72B7" w:rsidRPr="00EA09A1" w:rsidRDefault="004B2CEB" w:rsidP="004B2CEB">
      <w:pPr>
        <w:pStyle w:val="ListParagraph"/>
        <w:numPr>
          <w:ilvl w:val="0"/>
          <w:numId w:val="1"/>
        </w:numPr>
        <w:spacing w:after="0" w:line="240" w:lineRule="auto"/>
        <w:mirrorIndents/>
        <w:rPr>
          <w:rFonts w:ascii="Verdana" w:hAnsi="Verdana"/>
          <w:sz w:val="20"/>
          <w:szCs w:val="20"/>
        </w:rPr>
      </w:pPr>
      <w:r w:rsidRPr="00EA09A1">
        <w:rPr>
          <w:rFonts w:ascii="Verdana" w:hAnsi="Verdana"/>
          <w:sz w:val="20"/>
          <w:szCs w:val="20"/>
        </w:rPr>
        <w:t>eMarketer’s projection</w:t>
      </w:r>
      <w:r w:rsidR="00996E92" w:rsidRPr="00EA09A1">
        <w:rPr>
          <w:rFonts w:ascii="Verdana" w:hAnsi="Verdana"/>
          <w:sz w:val="20"/>
          <w:szCs w:val="20"/>
        </w:rPr>
        <w:t>s</w:t>
      </w:r>
      <w:r w:rsidRPr="00EA09A1">
        <w:rPr>
          <w:rFonts w:ascii="Verdana" w:hAnsi="Verdana"/>
          <w:sz w:val="20"/>
          <w:szCs w:val="20"/>
        </w:rPr>
        <w:t xml:space="preserve">, </w:t>
      </w:r>
      <w:r w:rsidR="00B625B1" w:rsidRPr="00EA09A1">
        <w:rPr>
          <w:rFonts w:ascii="Verdana" w:hAnsi="Verdana"/>
          <w:sz w:val="20"/>
          <w:szCs w:val="20"/>
        </w:rPr>
        <w:t>which also exclude travel,</w:t>
      </w:r>
      <w:r w:rsidRPr="00EA09A1">
        <w:rPr>
          <w:rFonts w:ascii="Verdana" w:hAnsi="Verdana"/>
          <w:sz w:val="20"/>
          <w:szCs w:val="20"/>
        </w:rPr>
        <w:t xml:space="preserve"> restaurants and other retail sectors </w:t>
      </w:r>
      <w:r w:rsidR="00B625B1" w:rsidRPr="00EA09A1">
        <w:rPr>
          <w:rFonts w:ascii="Verdana" w:hAnsi="Verdana"/>
          <w:sz w:val="20"/>
          <w:szCs w:val="20"/>
        </w:rPr>
        <w:t>as in</w:t>
      </w:r>
      <w:r w:rsidRPr="00EA09A1">
        <w:rPr>
          <w:rFonts w:ascii="Verdana" w:hAnsi="Verdana"/>
          <w:sz w:val="20"/>
          <w:szCs w:val="20"/>
        </w:rPr>
        <w:t xml:space="preserve"> the NRF forecast, could result in the first retail holiday shopping season</w:t>
      </w:r>
      <w:r w:rsidR="00B625B1" w:rsidRPr="00EA09A1">
        <w:rPr>
          <w:rFonts w:ascii="Verdana" w:hAnsi="Verdana"/>
          <w:sz w:val="20"/>
          <w:szCs w:val="20"/>
        </w:rPr>
        <w:t xml:space="preserve"> with $1 trillion in total sales</w:t>
      </w:r>
      <w:r w:rsidRPr="00EA09A1">
        <w:rPr>
          <w:rFonts w:ascii="Verdana" w:hAnsi="Verdana"/>
          <w:sz w:val="20"/>
          <w:szCs w:val="20"/>
        </w:rPr>
        <w:t>.</w:t>
      </w:r>
    </w:p>
    <w:p w14:paraId="6F388FCE" w14:textId="77777777" w:rsidR="004B2CEB" w:rsidRPr="00EA09A1" w:rsidRDefault="004B2CEB" w:rsidP="004B2CEB">
      <w:pPr>
        <w:spacing w:after="0" w:line="240" w:lineRule="auto"/>
        <w:mirrorIndents/>
        <w:rPr>
          <w:rFonts w:ascii="Verdana" w:hAnsi="Verdana"/>
          <w:sz w:val="20"/>
          <w:szCs w:val="20"/>
        </w:rPr>
      </w:pPr>
    </w:p>
    <w:p w14:paraId="3C233D95" w14:textId="57EAD028" w:rsidR="004B2CEB" w:rsidRPr="00EA09A1" w:rsidRDefault="009A5D08" w:rsidP="004B2CEB">
      <w:pPr>
        <w:pStyle w:val="ListParagraph"/>
        <w:numPr>
          <w:ilvl w:val="0"/>
          <w:numId w:val="1"/>
        </w:numPr>
        <w:spacing w:after="0" w:line="240" w:lineRule="auto"/>
        <w:mirrorIndents/>
        <w:rPr>
          <w:rFonts w:ascii="Verdana" w:hAnsi="Verdana"/>
          <w:sz w:val="20"/>
          <w:szCs w:val="20"/>
        </w:rPr>
      </w:pPr>
      <w:r w:rsidRPr="00EA09A1">
        <w:rPr>
          <w:rFonts w:ascii="Verdana" w:hAnsi="Verdana"/>
          <w:sz w:val="20"/>
          <w:szCs w:val="20"/>
        </w:rPr>
        <w:t xml:space="preserve">The Mastercard SpendingPulse prediction isn’t quite as robust, at </w:t>
      </w:r>
      <w:r w:rsidR="00B625B1" w:rsidRPr="00EA09A1">
        <w:rPr>
          <w:rFonts w:ascii="Verdana" w:hAnsi="Verdana"/>
          <w:sz w:val="20"/>
          <w:szCs w:val="20"/>
        </w:rPr>
        <w:t>+</w:t>
      </w:r>
      <w:r w:rsidRPr="00EA09A1">
        <w:rPr>
          <w:rFonts w:ascii="Verdana" w:hAnsi="Verdana"/>
          <w:sz w:val="20"/>
          <w:szCs w:val="20"/>
        </w:rPr>
        <w:t>3.1% from November 1 to December 24 (or 3.8% without automotive and gasoline sales), compared to 5.1% during 2018. Coresight Research forecasts a 4.0% increase.</w:t>
      </w:r>
    </w:p>
    <w:p w14:paraId="3707552A" w14:textId="4FEA9711" w:rsidR="00EA72B7" w:rsidRPr="00EA09A1" w:rsidRDefault="00EA72B7" w:rsidP="00EA72B7">
      <w:pPr>
        <w:spacing w:after="0" w:line="240" w:lineRule="auto"/>
        <w:contextualSpacing/>
        <w:mirrorIndents/>
        <w:rPr>
          <w:rFonts w:ascii="Verdana" w:hAnsi="Verdana"/>
          <w:sz w:val="20"/>
          <w:szCs w:val="20"/>
        </w:rPr>
      </w:pPr>
    </w:p>
    <w:p w14:paraId="691FDCFE" w14:textId="768ED23C" w:rsidR="009A5D08" w:rsidRPr="00EA09A1" w:rsidRDefault="009A5D08" w:rsidP="009A5D08">
      <w:pPr>
        <w:pStyle w:val="Header"/>
        <w:contextualSpacing/>
        <w:jc w:val="center"/>
        <w:rPr>
          <w:b/>
          <w:sz w:val="20"/>
          <w:szCs w:val="20"/>
        </w:rPr>
      </w:pPr>
      <w:r w:rsidRPr="00EA09A1">
        <w:rPr>
          <w:b/>
          <w:sz w:val="20"/>
          <w:szCs w:val="20"/>
        </w:rPr>
        <w:t xml:space="preserve">US Retail Holiday </w:t>
      </w:r>
      <w:r w:rsidR="00B625B1" w:rsidRPr="00EA09A1">
        <w:rPr>
          <w:b/>
          <w:sz w:val="20"/>
          <w:szCs w:val="20"/>
        </w:rPr>
        <w:t>Sales Aim for First</w:t>
      </w:r>
      <w:r w:rsidRPr="00EA09A1">
        <w:rPr>
          <w:b/>
          <w:sz w:val="20"/>
          <w:szCs w:val="20"/>
        </w:rPr>
        <w:t xml:space="preserve"> Trillion-Dollar</w:t>
      </w:r>
      <w:r w:rsidR="00B625B1" w:rsidRPr="00EA09A1">
        <w:rPr>
          <w:b/>
          <w:sz w:val="20"/>
          <w:szCs w:val="20"/>
        </w:rPr>
        <w:t xml:space="preserve"> Season, October 2019</w:t>
      </w:r>
    </w:p>
    <w:tbl>
      <w:tblPr>
        <w:tblW w:w="9879"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285"/>
        <w:gridCol w:w="1318"/>
        <w:gridCol w:w="1319"/>
        <w:gridCol w:w="1319"/>
        <w:gridCol w:w="1319"/>
        <w:gridCol w:w="1319"/>
      </w:tblGrid>
      <w:tr w:rsidR="009A5D08" w:rsidRPr="00EA09A1" w14:paraId="0D6A6BE0" w14:textId="77777777" w:rsidTr="00B625B1">
        <w:trPr>
          <w:jc w:val="center"/>
        </w:trPr>
        <w:tc>
          <w:tcPr>
            <w:tcW w:w="3285" w:type="dxa"/>
            <w:tcBorders>
              <w:top w:val="single" w:sz="12" w:space="0" w:color="000000"/>
              <w:left w:val="single" w:sz="12" w:space="0" w:color="000000"/>
              <w:bottom w:val="single" w:sz="18" w:space="0" w:color="000000"/>
              <w:right w:val="single" w:sz="18" w:space="0" w:color="000000"/>
            </w:tcBorders>
            <w:vAlign w:val="center"/>
          </w:tcPr>
          <w:p w14:paraId="066DFB95" w14:textId="5462CDD4" w:rsidR="009A5D08" w:rsidRPr="00EA09A1" w:rsidRDefault="00B625B1" w:rsidP="00B625B1">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Retail Channel</w:t>
            </w:r>
          </w:p>
        </w:tc>
        <w:tc>
          <w:tcPr>
            <w:tcW w:w="1318" w:type="dxa"/>
            <w:tcBorders>
              <w:top w:val="single" w:sz="12" w:space="0" w:color="000000"/>
              <w:left w:val="single" w:sz="8" w:space="0" w:color="000000"/>
              <w:bottom w:val="single" w:sz="18" w:space="0" w:color="000000"/>
              <w:right w:val="single" w:sz="8" w:space="0" w:color="000000"/>
            </w:tcBorders>
            <w:vAlign w:val="center"/>
          </w:tcPr>
          <w:p w14:paraId="4459278B" w14:textId="39A8CE23" w:rsidR="009A5D08" w:rsidRPr="00EA09A1" w:rsidRDefault="00B625B1" w:rsidP="00B625B1">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2018</w:t>
            </w:r>
          </w:p>
        </w:tc>
        <w:tc>
          <w:tcPr>
            <w:tcW w:w="1319" w:type="dxa"/>
            <w:tcBorders>
              <w:top w:val="single" w:sz="12" w:space="0" w:color="000000"/>
              <w:left w:val="single" w:sz="8" w:space="0" w:color="000000"/>
              <w:bottom w:val="single" w:sz="18" w:space="0" w:color="000000"/>
              <w:right w:val="single" w:sz="8" w:space="0" w:color="000000"/>
            </w:tcBorders>
            <w:vAlign w:val="center"/>
          </w:tcPr>
          <w:p w14:paraId="2B4EE3FA" w14:textId="6DE2608E" w:rsidR="009A5D08" w:rsidRPr="00EA09A1" w:rsidRDefault="00B625B1" w:rsidP="00B625B1">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2019</w:t>
            </w:r>
          </w:p>
        </w:tc>
        <w:tc>
          <w:tcPr>
            <w:tcW w:w="1319" w:type="dxa"/>
            <w:tcBorders>
              <w:top w:val="single" w:sz="12" w:space="0" w:color="000000"/>
              <w:left w:val="single" w:sz="8" w:space="0" w:color="000000"/>
              <w:bottom w:val="single" w:sz="18" w:space="0" w:color="000000"/>
              <w:right w:val="single" w:sz="8" w:space="0" w:color="000000"/>
            </w:tcBorders>
            <w:vAlign w:val="center"/>
          </w:tcPr>
          <w:p w14:paraId="5D551965" w14:textId="4A773F3B" w:rsidR="009A5D08" w:rsidRPr="00EA09A1" w:rsidRDefault="00B625B1" w:rsidP="00B625B1">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 Change</w:t>
            </w:r>
          </w:p>
        </w:tc>
        <w:tc>
          <w:tcPr>
            <w:tcW w:w="1319" w:type="dxa"/>
            <w:tcBorders>
              <w:top w:val="single" w:sz="12" w:space="0" w:color="000000"/>
              <w:left w:val="single" w:sz="8" w:space="0" w:color="000000"/>
              <w:bottom w:val="single" w:sz="18" w:space="0" w:color="000000"/>
              <w:right w:val="single" w:sz="8" w:space="0" w:color="000000"/>
            </w:tcBorders>
            <w:vAlign w:val="center"/>
          </w:tcPr>
          <w:p w14:paraId="04EF8F65" w14:textId="6B2A782B" w:rsidR="009A5D08" w:rsidRPr="00EA09A1" w:rsidRDefault="00B625B1" w:rsidP="00B625B1">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 of 2019 Total</w:t>
            </w:r>
          </w:p>
        </w:tc>
        <w:tc>
          <w:tcPr>
            <w:tcW w:w="1319" w:type="dxa"/>
            <w:tcBorders>
              <w:top w:val="single" w:sz="12" w:space="0" w:color="000000"/>
              <w:left w:val="single" w:sz="8" w:space="0" w:color="000000"/>
              <w:bottom w:val="single" w:sz="18" w:space="0" w:color="000000"/>
              <w:right w:val="single" w:sz="12" w:space="0" w:color="000000"/>
            </w:tcBorders>
            <w:vAlign w:val="center"/>
          </w:tcPr>
          <w:p w14:paraId="0C8CB78E" w14:textId="3F7BBE02" w:rsidR="009A5D08" w:rsidRPr="00EA09A1" w:rsidRDefault="00B625B1" w:rsidP="00B625B1">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 of 2019 Increase</w:t>
            </w:r>
          </w:p>
        </w:tc>
      </w:tr>
      <w:tr w:rsidR="009A5D08" w:rsidRPr="00EA09A1" w14:paraId="502B768A" w14:textId="77777777" w:rsidTr="00B625B1">
        <w:tblPrEx>
          <w:tblBorders>
            <w:top w:val="none" w:sz="0" w:space="0" w:color="auto"/>
          </w:tblBorders>
        </w:tblPrEx>
        <w:trPr>
          <w:trHeight w:val="243"/>
          <w:jc w:val="center"/>
        </w:trPr>
        <w:tc>
          <w:tcPr>
            <w:tcW w:w="3285" w:type="dxa"/>
            <w:tcBorders>
              <w:top w:val="single" w:sz="18" w:space="0" w:color="000000"/>
              <w:left w:val="single" w:sz="12" w:space="0" w:color="000000"/>
              <w:bottom w:val="single" w:sz="4" w:space="0" w:color="000000"/>
              <w:right w:val="single" w:sz="18" w:space="0" w:color="000000"/>
            </w:tcBorders>
            <w:vAlign w:val="center"/>
          </w:tcPr>
          <w:p w14:paraId="46B92713" w14:textId="17304D7C" w:rsidR="009A5D08" w:rsidRPr="00EA09A1" w:rsidRDefault="00B625B1"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Brick-and-mortar/in-store</w:t>
            </w:r>
          </w:p>
        </w:tc>
        <w:tc>
          <w:tcPr>
            <w:tcW w:w="1318" w:type="dxa"/>
            <w:tcBorders>
              <w:top w:val="single" w:sz="18" w:space="0" w:color="000000"/>
              <w:left w:val="single" w:sz="8" w:space="0" w:color="000000"/>
              <w:bottom w:val="single" w:sz="4" w:space="0" w:color="000000"/>
              <w:right w:val="single" w:sz="8" w:space="0" w:color="000000"/>
            </w:tcBorders>
            <w:vAlign w:val="center"/>
          </w:tcPr>
          <w:p w14:paraId="481CCE4E" w14:textId="1D57CE64"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$851.09 B</w:t>
            </w:r>
          </w:p>
        </w:tc>
        <w:tc>
          <w:tcPr>
            <w:tcW w:w="1319" w:type="dxa"/>
            <w:tcBorders>
              <w:top w:val="single" w:sz="18" w:space="0" w:color="000000"/>
              <w:left w:val="single" w:sz="8" w:space="0" w:color="000000"/>
              <w:bottom w:val="single" w:sz="4" w:space="0" w:color="000000"/>
              <w:right w:val="single" w:sz="8" w:space="0" w:color="000000"/>
            </w:tcBorders>
            <w:vAlign w:val="center"/>
          </w:tcPr>
          <w:p w14:paraId="14236E57" w14:textId="5A0CC153"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$872.25 B</w:t>
            </w:r>
          </w:p>
        </w:tc>
        <w:tc>
          <w:tcPr>
            <w:tcW w:w="1319" w:type="dxa"/>
            <w:tcBorders>
              <w:top w:val="single" w:sz="18" w:space="0" w:color="000000"/>
              <w:left w:val="single" w:sz="8" w:space="0" w:color="000000"/>
              <w:bottom w:val="single" w:sz="4" w:space="0" w:color="000000"/>
              <w:right w:val="single" w:sz="8" w:space="0" w:color="000000"/>
            </w:tcBorders>
            <w:vAlign w:val="center"/>
          </w:tcPr>
          <w:p w14:paraId="5FC26B83" w14:textId="46D6FC03"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+2.5%</w:t>
            </w:r>
          </w:p>
        </w:tc>
        <w:tc>
          <w:tcPr>
            <w:tcW w:w="1319" w:type="dxa"/>
            <w:tcBorders>
              <w:top w:val="single" w:sz="18" w:space="0" w:color="000000"/>
              <w:left w:val="single" w:sz="8" w:space="0" w:color="000000"/>
              <w:bottom w:val="single" w:sz="4" w:space="0" w:color="000000"/>
              <w:right w:val="single" w:sz="8" w:space="0" w:color="000000"/>
            </w:tcBorders>
            <w:shd w:val="clear" w:color="auto" w:fill="D6E3BC" w:themeFill="accent3" w:themeFillTint="66"/>
            <w:vAlign w:val="center"/>
          </w:tcPr>
          <w:p w14:paraId="05B2105F" w14:textId="33DCC1CF"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86.6%</w:t>
            </w:r>
          </w:p>
        </w:tc>
        <w:tc>
          <w:tcPr>
            <w:tcW w:w="1319" w:type="dxa"/>
            <w:tcBorders>
              <w:top w:val="single" w:sz="18" w:space="0" w:color="000000"/>
              <w:left w:val="single" w:sz="8" w:space="0" w:color="000000"/>
              <w:bottom w:val="single" w:sz="4" w:space="0" w:color="000000"/>
              <w:right w:val="single" w:sz="12" w:space="0" w:color="000000"/>
            </w:tcBorders>
            <w:shd w:val="clear" w:color="auto" w:fill="D6E3BC" w:themeFill="accent3" w:themeFillTint="66"/>
            <w:vAlign w:val="center"/>
          </w:tcPr>
          <w:p w14:paraId="2E4CB794" w14:textId="46FE3809"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57.2%</w:t>
            </w:r>
          </w:p>
        </w:tc>
      </w:tr>
      <w:tr w:rsidR="009A5D08" w:rsidRPr="00EA09A1" w14:paraId="21979E91" w14:textId="77777777" w:rsidTr="00B625B1">
        <w:tblPrEx>
          <w:tblBorders>
            <w:top w:val="none" w:sz="0" w:space="0" w:color="auto"/>
          </w:tblBorders>
        </w:tblPrEx>
        <w:trPr>
          <w:trHeight w:val="243"/>
          <w:jc w:val="center"/>
        </w:trPr>
        <w:tc>
          <w:tcPr>
            <w:tcW w:w="3285" w:type="dxa"/>
            <w:tcBorders>
              <w:top w:val="single" w:sz="4" w:space="0" w:color="000000"/>
              <w:left w:val="single" w:sz="12" w:space="0" w:color="000000"/>
              <w:bottom w:val="single" w:sz="4" w:space="0" w:color="000000"/>
              <w:right w:val="single" w:sz="18" w:space="0" w:color="000000"/>
            </w:tcBorders>
            <w:vAlign w:val="center"/>
          </w:tcPr>
          <w:p w14:paraId="2E6F7ACE" w14:textId="0C320F67" w:rsidR="009A5D08" w:rsidRPr="00EA09A1" w:rsidRDefault="00B625B1"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E-commerce</w:t>
            </w:r>
          </w:p>
        </w:tc>
        <w:tc>
          <w:tcPr>
            <w:tcW w:w="1318" w:type="dxa"/>
            <w:tcBorders>
              <w:top w:val="single" w:sz="4" w:space="0" w:color="000000"/>
              <w:left w:val="single" w:sz="8" w:space="0" w:color="000000"/>
              <w:bottom w:val="single" w:sz="4" w:space="0" w:color="000000"/>
              <w:right w:val="single" w:sz="8" w:space="0" w:color="000000"/>
            </w:tcBorders>
            <w:vAlign w:val="center"/>
          </w:tcPr>
          <w:p w14:paraId="05C6EF2E" w14:textId="02BEBA78"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$119.54 B</w:t>
            </w:r>
          </w:p>
        </w:tc>
        <w:tc>
          <w:tcPr>
            <w:tcW w:w="1319" w:type="dxa"/>
            <w:tcBorders>
              <w:top w:val="single" w:sz="4" w:space="0" w:color="000000"/>
              <w:left w:val="single" w:sz="8" w:space="0" w:color="000000"/>
              <w:bottom w:val="single" w:sz="4" w:space="0" w:color="000000"/>
              <w:right w:val="single" w:sz="8" w:space="0" w:color="000000"/>
            </w:tcBorders>
            <w:vAlign w:val="center"/>
          </w:tcPr>
          <w:p w14:paraId="3BD26FFC" w14:textId="51262B71"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$135.35 B</w:t>
            </w:r>
          </w:p>
        </w:tc>
        <w:tc>
          <w:tcPr>
            <w:tcW w:w="1319" w:type="dxa"/>
            <w:tcBorders>
              <w:top w:val="single" w:sz="4" w:space="0" w:color="000000"/>
              <w:left w:val="single" w:sz="8" w:space="0" w:color="000000"/>
              <w:bottom w:val="single" w:sz="4" w:space="0" w:color="000000"/>
              <w:right w:val="single" w:sz="8" w:space="0" w:color="000000"/>
            </w:tcBorders>
            <w:vAlign w:val="center"/>
          </w:tcPr>
          <w:p w14:paraId="5B09A37F" w14:textId="00B6BBF4"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+13.2%</w:t>
            </w:r>
          </w:p>
        </w:tc>
        <w:tc>
          <w:tcPr>
            <w:tcW w:w="1319" w:type="dxa"/>
            <w:tcBorders>
              <w:top w:val="single" w:sz="4" w:space="0" w:color="000000"/>
              <w:left w:val="single" w:sz="8" w:space="0" w:color="000000"/>
              <w:bottom w:val="single" w:sz="4" w:space="0" w:color="000000"/>
              <w:right w:val="single" w:sz="8" w:space="0" w:color="000000"/>
            </w:tcBorders>
            <w:vAlign w:val="center"/>
          </w:tcPr>
          <w:p w14:paraId="52C096D2" w14:textId="0BA1111C"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13.4%</w:t>
            </w:r>
          </w:p>
        </w:tc>
        <w:tc>
          <w:tcPr>
            <w:tcW w:w="1319"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131ED9D6" w14:textId="634075AB"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42.8%</w:t>
            </w:r>
          </w:p>
        </w:tc>
      </w:tr>
      <w:tr w:rsidR="009A5D08" w:rsidRPr="00EA09A1" w14:paraId="0A0F69EA" w14:textId="77777777" w:rsidTr="00B625B1">
        <w:tblPrEx>
          <w:tblBorders>
            <w:top w:val="none" w:sz="0" w:space="0" w:color="auto"/>
          </w:tblBorders>
        </w:tblPrEx>
        <w:trPr>
          <w:trHeight w:val="243"/>
          <w:jc w:val="center"/>
        </w:trPr>
        <w:tc>
          <w:tcPr>
            <w:tcW w:w="328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249C1BBD" w14:textId="05DE2422" w:rsidR="009A5D08" w:rsidRPr="00EA09A1" w:rsidRDefault="00B625B1" w:rsidP="00B7664E">
            <w:pPr>
              <w:widowControl w:val="0"/>
              <w:tabs>
                <w:tab w:val="left" w:pos="220"/>
                <w:tab w:val="left" w:pos="720"/>
              </w:tabs>
              <w:autoSpaceDE w:val="0"/>
              <w:autoSpaceDN w:val="0"/>
              <w:adjustRightInd w:val="0"/>
              <w:spacing w:after="0" w:line="240" w:lineRule="auto"/>
              <w:contextualSpacing/>
              <w:rPr>
                <w:rFonts w:eastAsia="Times New Roman"/>
                <w:sz w:val="16"/>
                <w:szCs w:val="16"/>
              </w:rPr>
            </w:pPr>
            <w:r w:rsidRPr="00EA09A1">
              <w:rPr>
                <w:rFonts w:eastAsia="Times New Roman"/>
                <w:sz w:val="16"/>
                <w:szCs w:val="16"/>
              </w:rPr>
              <w:t xml:space="preserve">   Desktop and other (includes voice)</w:t>
            </w:r>
          </w:p>
        </w:tc>
        <w:tc>
          <w:tcPr>
            <w:tcW w:w="131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3E0EB8B" w14:textId="53717749"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16"/>
                <w:szCs w:val="16"/>
              </w:rPr>
            </w:pPr>
            <w:r w:rsidRPr="00EA09A1">
              <w:rPr>
                <w:rFonts w:eastAsia="Times New Roman"/>
                <w:sz w:val="16"/>
                <w:szCs w:val="16"/>
              </w:rPr>
              <w:t>$68.14 B</w:t>
            </w:r>
          </w:p>
        </w:tc>
        <w:tc>
          <w:tcPr>
            <w:tcW w:w="131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6B8EAB8" w14:textId="2463E20A"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16"/>
                <w:szCs w:val="16"/>
              </w:rPr>
            </w:pPr>
            <w:r w:rsidRPr="00EA09A1">
              <w:rPr>
                <w:rFonts w:eastAsia="Times New Roman"/>
                <w:sz w:val="16"/>
                <w:szCs w:val="16"/>
              </w:rPr>
              <w:t>$71.06 B</w:t>
            </w:r>
          </w:p>
        </w:tc>
        <w:tc>
          <w:tcPr>
            <w:tcW w:w="1319" w:type="dxa"/>
            <w:tcBorders>
              <w:top w:val="single" w:sz="4" w:space="0" w:color="000000"/>
              <w:left w:val="single" w:sz="8" w:space="0" w:color="000000"/>
              <w:bottom w:val="single" w:sz="4" w:space="0" w:color="000000"/>
              <w:right w:val="single" w:sz="8" w:space="0" w:color="000000"/>
            </w:tcBorders>
            <w:vAlign w:val="center"/>
          </w:tcPr>
          <w:p w14:paraId="664B9E08" w14:textId="3D95E988"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16"/>
                <w:szCs w:val="16"/>
              </w:rPr>
            </w:pPr>
            <w:r w:rsidRPr="00EA09A1">
              <w:rPr>
                <w:rFonts w:eastAsia="Times New Roman"/>
                <w:sz w:val="16"/>
                <w:szCs w:val="16"/>
              </w:rPr>
              <w:t>+4.3%</w:t>
            </w:r>
          </w:p>
        </w:tc>
        <w:tc>
          <w:tcPr>
            <w:tcW w:w="1319" w:type="dxa"/>
            <w:tcBorders>
              <w:top w:val="single" w:sz="4" w:space="0" w:color="000000"/>
              <w:left w:val="single" w:sz="8" w:space="0" w:color="000000"/>
              <w:bottom w:val="single" w:sz="4" w:space="0" w:color="000000"/>
              <w:right w:val="single" w:sz="8" w:space="0" w:color="000000"/>
            </w:tcBorders>
            <w:vAlign w:val="center"/>
          </w:tcPr>
          <w:p w14:paraId="236A6FB6" w14:textId="3A9E1A8C"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16"/>
                <w:szCs w:val="16"/>
              </w:rPr>
            </w:pPr>
            <w:r w:rsidRPr="00EA09A1">
              <w:rPr>
                <w:rFonts w:eastAsia="Times New Roman"/>
                <w:sz w:val="16"/>
                <w:szCs w:val="16"/>
              </w:rPr>
              <w:t>7.1%</w:t>
            </w:r>
          </w:p>
        </w:tc>
        <w:tc>
          <w:tcPr>
            <w:tcW w:w="1319"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6F1169A9" w14:textId="4DB5A745"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16"/>
                <w:szCs w:val="16"/>
              </w:rPr>
            </w:pPr>
            <w:r w:rsidRPr="00EA09A1">
              <w:rPr>
                <w:rFonts w:eastAsia="Times New Roman"/>
                <w:sz w:val="16"/>
                <w:szCs w:val="16"/>
              </w:rPr>
              <w:t>7.9%</w:t>
            </w:r>
          </w:p>
        </w:tc>
      </w:tr>
      <w:tr w:rsidR="009A5D08" w:rsidRPr="00EA09A1" w14:paraId="7392945A" w14:textId="77777777" w:rsidTr="00B625B1">
        <w:tblPrEx>
          <w:tblBorders>
            <w:top w:val="none" w:sz="0" w:space="0" w:color="auto"/>
          </w:tblBorders>
        </w:tblPrEx>
        <w:trPr>
          <w:trHeight w:val="243"/>
          <w:jc w:val="center"/>
        </w:trPr>
        <w:tc>
          <w:tcPr>
            <w:tcW w:w="328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0C5EF0AE" w14:textId="423484E6" w:rsidR="009A5D08" w:rsidRPr="00EA09A1" w:rsidRDefault="00B625B1" w:rsidP="00B7664E">
            <w:pPr>
              <w:widowControl w:val="0"/>
              <w:tabs>
                <w:tab w:val="left" w:pos="220"/>
                <w:tab w:val="left" w:pos="720"/>
              </w:tabs>
              <w:autoSpaceDE w:val="0"/>
              <w:autoSpaceDN w:val="0"/>
              <w:adjustRightInd w:val="0"/>
              <w:spacing w:after="0" w:line="240" w:lineRule="auto"/>
              <w:contextualSpacing/>
              <w:rPr>
                <w:rFonts w:eastAsia="Times New Roman"/>
                <w:sz w:val="16"/>
                <w:szCs w:val="16"/>
              </w:rPr>
            </w:pPr>
            <w:r w:rsidRPr="00EA09A1">
              <w:rPr>
                <w:rFonts w:eastAsia="Times New Roman"/>
                <w:sz w:val="16"/>
                <w:szCs w:val="16"/>
              </w:rPr>
              <w:t xml:space="preserve">   Mobile</w:t>
            </w:r>
          </w:p>
        </w:tc>
        <w:tc>
          <w:tcPr>
            <w:tcW w:w="131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143FF4E" w14:textId="6BF5DA97"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16"/>
                <w:szCs w:val="16"/>
              </w:rPr>
            </w:pPr>
            <w:r w:rsidRPr="00EA09A1">
              <w:rPr>
                <w:rFonts w:eastAsia="Times New Roman"/>
                <w:sz w:val="16"/>
                <w:szCs w:val="16"/>
              </w:rPr>
              <w:t>$51.40 B</w:t>
            </w:r>
          </w:p>
        </w:tc>
        <w:tc>
          <w:tcPr>
            <w:tcW w:w="131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8A620BD" w14:textId="062AF6F3"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16"/>
                <w:szCs w:val="16"/>
              </w:rPr>
            </w:pPr>
            <w:r w:rsidRPr="00EA09A1">
              <w:rPr>
                <w:rFonts w:eastAsia="Times New Roman"/>
                <w:sz w:val="16"/>
                <w:szCs w:val="16"/>
              </w:rPr>
              <w:t>$64.29 B</w:t>
            </w:r>
          </w:p>
        </w:tc>
        <w:tc>
          <w:tcPr>
            <w:tcW w:w="1319" w:type="dxa"/>
            <w:tcBorders>
              <w:top w:val="single" w:sz="4" w:space="0" w:color="000000"/>
              <w:left w:val="single" w:sz="8" w:space="0" w:color="000000"/>
              <w:bottom w:val="single" w:sz="4" w:space="0" w:color="000000"/>
              <w:right w:val="single" w:sz="8" w:space="0" w:color="000000"/>
            </w:tcBorders>
            <w:shd w:val="clear" w:color="auto" w:fill="D6E3BC" w:themeFill="accent3" w:themeFillTint="66"/>
            <w:vAlign w:val="center"/>
          </w:tcPr>
          <w:p w14:paraId="1182FC57" w14:textId="26AA2558"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16"/>
                <w:szCs w:val="16"/>
              </w:rPr>
            </w:pPr>
            <w:r w:rsidRPr="00EA09A1">
              <w:rPr>
                <w:rFonts w:eastAsia="Times New Roman"/>
                <w:sz w:val="16"/>
                <w:szCs w:val="16"/>
              </w:rPr>
              <w:t>+25.1%</w:t>
            </w:r>
          </w:p>
        </w:tc>
        <w:tc>
          <w:tcPr>
            <w:tcW w:w="1319" w:type="dxa"/>
            <w:tcBorders>
              <w:top w:val="single" w:sz="4" w:space="0" w:color="000000"/>
              <w:left w:val="single" w:sz="8" w:space="0" w:color="000000"/>
              <w:bottom w:val="single" w:sz="4" w:space="0" w:color="000000"/>
              <w:right w:val="single" w:sz="8" w:space="0" w:color="000000"/>
            </w:tcBorders>
            <w:vAlign w:val="center"/>
          </w:tcPr>
          <w:p w14:paraId="1BDB2C9E" w14:textId="2C50A349"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16"/>
                <w:szCs w:val="16"/>
              </w:rPr>
            </w:pPr>
            <w:r w:rsidRPr="00EA09A1">
              <w:rPr>
                <w:rFonts w:eastAsia="Times New Roman"/>
                <w:sz w:val="16"/>
                <w:szCs w:val="16"/>
              </w:rPr>
              <w:t>6.4%</w:t>
            </w:r>
          </w:p>
        </w:tc>
        <w:tc>
          <w:tcPr>
            <w:tcW w:w="1319"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3842BE7D" w14:textId="23C92CC3"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16"/>
                <w:szCs w:val="16"/>
              </w:rPr>
            </w:pPr>
            <w:r w:rsidRPr="00EA09A1">
              <w:rPr>
                <w:rFonts w:eastAsia="Times New Roman"/>
                <w:sz w:val="16"/>
                <w:szCs w:val="16"/>
              </w:rPr>
              <w:t>34.9%</w:t>
            </w:r>
          </w:p>
        </w:tc>
      </w:tr>
      <w:tr w:rsidR="009A5D08" w:rsidRPr="00EA09A1" w14:paraId="4D714444" w14:textId="77777777" w:rsidTr="00B625B1">
        <w:tblPrEx>
          <w:tblBorders>
            <w:top w:val="none" w:sz="0" w:space="0" w:color="auto"/>
          </w:tblBorders>
        </w:tblPrEx>
        <w:trPr>
          <w:trHeight w:val="243"/>
          <w:jc w:val="center"/>
        </w:trPr>
        <w:tc>
          <w:tcPr>
            <w:tcW w:w="3285" w:type="dxa"/>
            <w:tcBorders>
              <w:top w:val="single" w:sz="4" w:space="0" w:color="000000"/>
              <w:left w:val="single" w:sz="12" w:space="0" w:color="000000"/>
              <w:bottom w:val="single" w:sz="12" w:space="0" w:color="000000"/>
              <w:right w:val="single" w:sz="18" w:space="0" w:color="000000"/>
            </w:tcBorders>
            <w:vAlign w:val="center"/>
          </w:tcPr>
          <w:p w14:paraId="595243D2" w14:textId="5672EDD1" w:rsidR="009A5D08" w:rsidRPr="00EA09A1" w:rsidRDefault="00B625B1"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Total</w:t>
            </w:r>
          </w:p>
        </w:tc>
        <w:tc>
          <w:tcPr>
            <w:tcW w:w="1318" w:type="dxa"/>
            <w:tcBorders>
              <w:top w:val="single" w:sz="4" w:space="0" w:color="000000"/>
              <w:left w:val="single" w:sz="8" w:space="0" w:color="000000"/>
              <w:bottom w:val="single" w:sz="12" w:space="0" w:color="000000"/>
              <w:right w:val="single" w:sz="8" w:space="0" w:color="000000"/>
            </w:tcBorders>
            <w:vAlign w:val="center"/>
          </w:tcPr>
          <w:p w14:paraId="4400A455" w14:textId="681E6EF6"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$970.63 B</w:t>
            </w:r>
          </w:p>
        </w:tc>
        <w:tc>
          <w:tcPr>
            <w:tcW w:w="1319" w:type="dxa"/>
            <w:tcBorders>
              <w:top w:val="single" w:sz="4" w:space="0" w:color="000000"/>
              <w:left w:val="single" w:sz="8" w:space="0" w:color="000000"/>
              <w:bottom w:val="single" w:sz="12" w:space="0" w:color="000000"/>
              <w:right w:val="single" w:sz="8" w:space="0" w:color="000000"/>
            </w:tcBorders>
            <w:shd w:val="clear" w:color="auto" w:fill="D6E3BC" w:themeFill="accent3" w:themeFillTint="66"/>
            <w:vAlign w:val="center"/>
          </w:tcPr>
          <w:p w14:paraId="67AD30EF" w14:textId="585319E4"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$1.007 T</w:t>
            </w:r>
          </w:p>
        </w:tc>
        <w:tc>
          <w:tcPr>
            <w:tcW w:w="1319" w:type="dxa"/>
            <w:tcBorders>
              <w:top w:val="single" w:sz="4" w:space="0" w:color="000000"/>
              <w:left w:val="single" w:sz="8" w:space="0" w:color="000000"/>
              <w:bottom w:val="single" w:sz="12" w:space="0" w:color="000000"/>
              <w:right w:val="single" w:sz="8" w:space="0" w:color="000000"/>
            </w:tcBorders>
            <w:vAlign w:val="center"/>
          </w:tcPr>
          <w:p w14:paraId="3CBA838B" w14:textId="2D0591A6"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+3.8%</w:t>
            </w:r>
          </w:p>
        </w:tc>
        <w:tc>
          <w:tcPr>
            <w:tcW w:w="1319" w:type="dxa"/>
            <w:tcBorders>
              <w:top w:val="single" w:sz="4" w:space="0" w:color="000000"/>
              <w:left w:val="single" w:sz="8" w:space="0" w:color="000000"/>
              <w:bottom w:val="single" w:sz="12" w:space="0" w:color="000000"/>
              <w:right w:val="single" w:sz="8" w:space="0" w:color="000000"/>
            </w:tcBorders>
            <w:vAlign w:val="center"/>
          </w:tcPr>
          <w:p w14:paraId="60DD878B" w14:textId="155B78C5"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100.0%</w:t>
            </w:r>
          </w:p>
        </w:tc>
        <w:tc>
          <w:tcPr>
            <w:tcW w:w="1319" w:type="dxa"/>
            <w:tcBorders>
              <w:top w:val="single" w:sz="4" w:space="0" w:color="000000"/>
              <w:left w:val="single" w:sz="8" w:space="0" w:color="000000"/>
              <w:bottom w:val="single" w:sz="12" w:space="0" w:color="000000"/>
              <w:right w:val="single" w:sz="12" w:space="0" w:color="000000"/>
            </w:tcBorders>
            <w:shd w:val="clear" w:color="auto" w:fill="auto"/>
            <w:vAlign w:val="center"/>
          </w:tcPr>
          <w:p w14:paraId="7A3B3BC7" w14:textId="14E5A8E1" w:rsidR="009A5D08" w:rsidRPr="00EA09A1" w:rsidRDefault="00B625B1" w:rsidP="00B625B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100.0%</w:t>
            </w:r>
          </w:p>
        </w:tc>
      </w:tr>
    </w:tbl>
    <w:p w14:paraId="75B2529F" w14:textId="5ACF02BC" w:rsidR="009A5D08" w:rsidRPr="00EA09A1" w:rsidRDefault="00B625B1" w:rsidP="00B625B1">
      <w:pPr>
        <w:spacing w:after="0" w:line="240" w:lineRule="auto"/>
        <w:ind w:hanging="270"/>
        <w:contextualSpacing/>
        <w:mirrorIndents/>
        <w:rPr>
          <w:rFonts w:ascii="Verdana" w:hAnsi="Verdana"/>
          <w:sz w:val="20"/>
          <w:szCs w:val="20"/>
        </w:rPr>
      </w:pPr>
      <w:r w:rsidRPr="00EA09A1">
        <w:rPr>
          <w:sz w:val="16"/>
          <w:szCs w:val="16"/>
        </w:rPr>
        <w:t>eMarketer</w:t>
      </w:r>
      <w:r w:rsidR="009A5D08" w:rsidRPr="00EA09A1">
        <w:rPr>
          <w:sz w:val="16"/>
          <w:szCs w:val="16"/>
        </w:rPr>
        <w:t xml:space="preserve">, </w:t>
      </w:r>
      <w:r w:rsidRPr="00EA09A1">
        <w:rPr>
          <w:sz w:val="16"/>
          <w:szCs w:val="16"/>
        </w:rPr>
        <w:t>Octo</w:t>
      </w:r>
      <w:r w:rsidR="009A5D08" w:rsidRPr="00EA09A1">
        <w:rPr>
          <w:sz w:val="16"/>
          <w:szCs w:val="16"/>
        </w:rPr>
        <w:t>ber 2019</w:t>
      </w:r>
      <w:r w:rsidRPr="00EA09A1">
        <w:rPr>
          <w:sz w:val="16"/>
          <w:szCs w:val="16"/>
        </w:rPr>
        <w:t xml:space="preserve"> (</w:t>
      </w:r>
      <w:r w:rsidR="009E7FE6" w:rsidRPr="00EA09A1">
        <w:rPr>
          <w:sz w:val="16"/>
          <w:szCs w:val="16"/>
        </w:rPr>
        <w:t>excludes travel and event tickets, payments and food services and drinking places)</w:t>
      </w:r>
    </w:p>
    <w:p w14:paraId="2968C166" w14:textId="32D02033" w:rsidR="009A5D08" w:rsidRPr="00EA09A1" w:rsidRDefault="009A5D08" w:rsidP="00EA72B7">
      <w:pPr>
        <w:spacing w:after="0" w:line="240" w:lineRule="auto"/>
        <w:contextualSpacing/>
        <w:mirrorIndents/>
        <w:rPr>
          <w:rFonts w:ascii="Verdana" w:hAnsi="Verdana"/>
          <w:sz w:val="20"/>
          <w:szCs w:val="20"/>
        </w:rPr>
      </w:pPr>
    </w:p>
    <w:p w14:paraId="60138EBD" w14:textId="41F033FD" w:rsidR="00EA72B7" w:rsidRPr="00EA09A1" w:rsidRDefault="00EA72B7" w:rsidP="001403C9">
      <w:pPr>
        <w:spacing w:after="0" w:line="240" w:lineRule="auto"/>
        <w:contextualSpacing/>
        <w:mirrorIndents/>
        <w:jc w:val="center"/>
        <w:rPr>
          <w:rFonts w:ascii="Verdana" w:hAnsi="Verdana"/>
          <w:b/>
          <w:color w:val="0070C0"/>
          <w:sz w:val="20"/>
          <w:szCs w:val="20"/>
        </w:rPr>
      </w:pPr>
      <w:r w:rsidRPr="00EA09A1">
        <w:rPr>
          <w:rFonts w:ascii="Verdana" w:hAnsi="Verdana"/>
          <w:b/>
          <w:color w:val="0070C0"/>
          <w:sz w:val="20"/>
          <w:szCs w:val="20"/>
        </w:rPr>
        <w:t>Calendar Conundrum</w:t>
      </w:r>
    </w:p>
    <w:p w14:paraId="6957C0B3" w14:textId="77777777" w:rsidR="00EA72B7" w:rsidRPr="00EA09A1" w:rsidRDefault="00EA72B7" w:rsidP="00EA72B7">
      <w:pPr>
        <w:spacing w:after="0" w:line="240" w:lineRule="auto"/>
        <w:contextualSpacing/>
        <w:mirrorIndents/>
        <w:rPr>
          <w:rFonts w:ascii="Verdana" w:hAnsi="Verdana"/>
          <w:sz w:val="20"/>
          <w:szCs w:val="20"/>
        </w:rPr>
      </w:pPr>
    </w:p>
    <w:p w14:paraId="66416F1F" w14:textId="1062DCA5" w:rsidR="001403C9" w:rsidRPr="00EA09A1" w:rsidRDefault="001403C9" w:rsidP="001403C9">
      <w:pPr>
        <w:pStyle w:val="ListParagraph"/>
        <w:numPr>
          <w:ilvl w:val="0"/>
          <w:numId w:val="3"/>
        </w:numPr>
        <w:spacing w:after="0" w:line="240" w:lineRule="auto"/>
        <w:mirrorIndents/>
        <w:rPr>
          <w:rFonts w:ascii="Verdana" w:hAnsi="Verdana"/>
          <w:sz w:val="20"/>
          <w:szCs w:val="20"/>
        </w:rPr>
      </w:pPr>
      <w:r w:rsidRPr="00EA09A1">
        <w:rPr>
          <w:rFonts w:ascii="Verdana" w:hAnsi="Verdana"/>
          <w:sz w:val="20"/>
          <w:szCs w:val="20"/>
        </w:rPr>
        <w:t xml:space="preserve">As has been noted in many media reports, this holiday season is very unusual </w:t>
      </w:r>
      <w:r w:rsidR="009E7FE6" w:rsidRPr="00EA09A1">
        <w:rPr>
          <w:rFonts w:ascii="Verdana" w:hAnsi="Verdana"/>
          <w:sz w:val="20"/>
          <w:szCs w:val="20"/>
        </w:rPr>
        <w:t>because it is 6 days shorter. Thanksgiving is as late as the calendar will allow, which has led some shoppers to start earlier this year while others are expected to wait until the last minute.</w:t>
      </w:r>
    </w:p>
    <w:p w14:paraId="7810E222" w14:textId="3BB75380" w:rsidR="001403C9" w:rsidRPr="00EA09A1" w:rsidRDefault="001403C9" w:rsidP="00EA72B7">
      <w:pPr>
        <w:spacing w:after="0" w:line="240" w:lineRule="auto"/>
        <w:contextualSpacing/>
        <w:mirrorIndents/>
        <w:rPr>
          <w:rFonts w:ascii="Verdana" w:hAnsi="Verdana"/>
          <w:sz w:val="20"/>
          <w:szCs w:val="20"/>
        </w:rPr>
      </w:pPr>
    </w:p>
    <w:p w14:paraId="030B19C4" w14:textId="5ADA849B" w:rsidR="009E7FE6" w:rsidRPr="00EA09A1" w:rsidRDefault="009E7FE6" w:rsidP="009E7FE6">
      <w:pPr>
        <w:pStyle w:val="ListParagraph"/>
        <w:numPr>
          <w:ilvl w:val="0"/>
          <w:numId w:val="3"/>
        </w:numPr>
        <w:spacing w:after="0" w:line="240" w:lineRule="auto"/>
        <w:mirrorIndents/>
        <w:rPr>
          <w:rFonts w:ascii="Verdana" w:hAnsi="Verdana"/>
          <w:sz w:val="20"/>
          <w:szCs w:val="20"/>
        </w:rPr>
      </w:pPr>
      <w:r w:rsidRPr="00EA09A1">
        <w:rPr>
          <w:rFonts w:ascii="Verdana" w:hAnsi="Verdana"/>
          <w:sz w:val="20"/>
          <w:szCs w:val="20"/>
        </w:rPr>
        <w:t>According to a survey from Profitero, an e-commerce platform company, 25% of shoppers said they started during September, which includes the 45% w</w:t>
      </w:r>
      <w:r w:rsidR="001A2257" w:rsidRPr="00EA09A1">
        <w:rPr>
          <w:rFonts w:ascii="Verdana" w:hAnsi="Verdana"/>
          <w:sz w:val="20"/>
          <w:szCs w:val="20"/>
        </w:rPr>
        <w:t>ho</w:t>
      </w:r>
      <w:r w:rsidRPr="00EA09A1">
        <w:rPr>
          <w:rFonts w:ascii="Verdana" w:hAnsi="Verdana"/>
          <w:sz w:val="20"/>
          <w:szCs w:val="20"/>
        </w:rPr>
        <w:t xml:space="preserve"> planned to start before November; however, 31% couldn’t </w:t>
      </w:r>
      <w:r w:rsidR="001A2257" w:rsidRPr="00EA09A1">
        <w:rPr>
          <w:rFonts w:ascii="Verdana" w:hAnsi="Verdana"/>
          <w:sz w:val="20"/>
          <w:szCs w:val="20"/>
        </w:rPr>
        <w:t>say</w:t>
      </w:r>
      <w:r w:rsidRPr="00EA09A1">
        <w:rPr>
          <w:rFonts w:ascii="Verdana" w:hAnsi="Verdana"/>
          <w:sz w:val="20"/>
          <w:szCs w:val="20"/>
        </w:rPr>
        <w:t xml:space="preserve"> when they would start.</w:t>
      </w:r>
    </w:p>
    <w:p w14:paraId="7141D2AC" w14:textId="77777777" w:rsidR="009E7FE6" w:rsidRPr="00EA09A1" w:rsidRDefault="009E7FE6" w:rsidP="00EA72B7">
      <w:pPr>
        <w:spacing w:after="0" w:line="240" w:lineRule="auto"/>
        <w:contextualSpacing/>
        <w:mirrorIndents/>
        <w:rPr>
          <w:rFonts w:ascii="Verdana" w:hAnsi="Verdana"/>
          <w:sz w:val="20"/>
          <w:szCs w:val="20"/>
        </w:rPr>
      </w:pPr>
    </w:p>
    <w:p w14:paraId="23709E56" w14:textId="47FE9C6C" w:rsidR="009E7FE6" w:rsidRPr="00EA09A1" w:rsidRDefault="009E7FE6" w:rsidP="009E7FE6">
      <w:pPr>
        <w:pStyle w:val="ListParagraph"/>
        <w:numPr>
          <w:ilvl w:val="0"/>
          <w:numId w:val="3"/>
        </w:numPr>
        <w:spacing w:after="0" w:line="240" w:lineRule="auto"/>
        <w:mirrorIndents/>
        <w:rPr>
          <w:rFonts w:ascii="Verdana" w:hAnsi="Verdana"/>
          <w:sz w:val="20"/>
          <w:szCs w:val="20"/>
        </w:rPr>
      </w:pPr>
      <w:r w:rsidRPr="00EA09A1">
        <w:rPr>
          <w:rFonts w:ascii="Verdana" w:hAnsi="Verdana"/>
          <w:sz w:val="20"/>
          <w:szCs w:val="20"/>
        </w:rPr>
        <w:t>The shortest holiday shopping season possible isn’t particularly good for retailers, especially if a heavy snowstorm occurs during one or more of the crucial weekends. Many retailers plan to promote larger discounts to motivate consumers to shop earlier.</w:t>
      </w:r>
    </w:p>
    <w:p w14:paraId="1AAD064D" w14:textId="77777777" w:rsidR="009E7FE6" w:rsidRPr="00EA09A1" w:rsidRDefault="009E7FE6" w:rsidP="00EA72B7">
      <w:pPr>
        <w:spacing w:after="0" w:line="240" w:lineRule="auto"/>
        <w:contextualSpacing/>
        <w:mirrorIndents/>
        <w:rPr>
          <w:rFonts w:ascii="Verdana" w:hAnsi="Verdana"/>
          <w:sz w:val="20"/>
          <w:szCs w:val="20"/>
        </w:rPr>
      </w:pPr>
    </w:p>
    <w:p w14:paraId="1056BA7D" w14:textId="67658EA1" w:rsidR="009E7FE6" w:rsidRPr="00EA09A1" w:rsidRDefault="009E7FE6" w:rsidP="009E7FE6">
      <w:pPr>
        <w:pStyle w:val="Header"/>
        <w:contextualSpacing/>
        <w:jc w:val="center"/>
        <w:rPr>
          <w:b/>
          <w:sz w:val="20"/>
          <w:szCs w:val="20"/>
        </w:rPr>
      </w:pPr>
      <w:r w:rsidRPr="00EA09A1">
        <w:rPr>
          <w:b/>
          <w:sz w:val="20"/>
          <w:szCs w:val="20"/>
        </w:rPr>
        <w:t>When Consumers Plan to Start 2019 Holiday Shopping, by Age, October 2019</w:t>
      </w:r>
    </w:p>
    <w:tbl>
      <w:tblPr>
        <w:tblW w:w="664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285"/>
        <w:gridCol w:w="1120"/>
        <w:gridCol w:w="1120"/>
        <w:gridCol w:w="1120"/>
      </w:tblGrid>
      <w:tr w:rsidR="00E9461C" w:rsidRPr="00EA09A1" w14:paraId="24C3BA50" w14:textId="77777777" w:rsidTr="00243ED1">
        <w:trPr>
          <w:jc w:val="center"/>
        </w:trPr>
        <w:tc>
          <w:tcPr>
            <w:tcW w:w="3285" w:type="dxa"/>
            <w:tcBorders>
              <w:top w:val="single" w:sz="12" w:space="0" w:color="000000"/>
              <w:left w:val="single" w:sz="12" w:space="0" w:color="000000"/>
              <w:bottom w:val="single" w:sz="18" w:space="0" w:color="000000"/>
              <w:right w:val="single" w:sz="18" w:space="0" w:color="000000"/>
            </w:tcBorders>
            <w:vAlign w:val="center"/>
          </w:tcPr>
          <w:p w14:paraId="6A3D01DC" w14:textId="7E88EAD4" w:rsidR="00E9461C" w:rsidRPr="00EA09A1" w:rsidRDefault="00E9461C" w:rsidP="00B7664E">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Date</w:t>
            </w:r>
          </w:p>
        </w:tc>
        <w:tc>
          <w:tcPr>
            <w:tcW w:w="1120" w:type="dxa"/>
            <w:tcBorders>
              <w:top w:val="single" w:sz="12" w:space="0" w:color="000000"/>
              <w:left w:val="single" w:sz="8" w:space="0" w:color="000000"/>
              <w:bottom w:val="single" w:sz="18" w:space="0" w:color="000000"/>
              <w:right w:val="single" w:sz="8" w:space="0" w:color="000000"/>
            </w:tcBorders>
            <w:vAlign w:val="center"/>
          </w:tcPr>
          <w:p w14:paraId="417D3475" w14:textId="145C9E04" w:rsidR="00E9461C" w:rsidRPr="00EA09A1" w:rsidRDefault="00E9461C" w:rsidP="00B7664E">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18</w:t>
            </w:r>
            <w:r w:rsidRPr="00EA09A1">
              <w:rPr>
                <w:rFonts w:ascii="Verdana" w:eastAsia="Times New Roman" w:hAnsi="Verdana"/>
                <w:sz w:val="20"/>
                <w:szCs w:val="20"/>
              </w:rPr>
              <w:t>–</w:t>
            </w:r>
            <w:r w:rsidRPr="00EA09A1">
              <w:rPr>
                <w:rFonts w:eastAsia="Times New Roman"/>
                <w:sz w:val="20"/>
                <w:szCs w:val="20"/>
              </w:rPr>
              <w:t>24</w:t>
            </w:r>
          </w:p>
        </w:tc>
        <w:tc>
          <w:tcPr>
            <w:tcW w:w="1120" w:type="dxa"/>
            <w:tcBorders>
              <w:top w:val="single" w:sz="12" w:space="0" w:color="000000"/>
              <w:left w:val="single" w:sz="8" w:space="0" w:color="000000"/>
              <w:bottom w:val="single" w:sz="18" w:space="0" w:color="000000"/>
              <w:right w:val="single" w:sz="8" w:space="0" w:color="000000"/>
            </w:tcBorders>
            <w:vAlign w:val="center"/>
          </w:tcPr>
          <w:p w14:paraId="13884CE6" w14:textId="0680C0AC" w:rsidR="00E9461C" w:rsidRPr="00EA09A1" w:rsidRDefault="00E9461C" w:rsidP="00B7664E">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25</w:t>
            </w:r>
            <w:r w:rsidRPr="00EA09A1">
              <w:rPr>
                <w:rFonts w:ascii="Verdana" w:eastAsia="Times New Roman" w:hAnsi="Verdana"/>
                <w:sz w:val="20"/>
                <w:szCs w:val="20"/>
              </w:rPr>
              <w:t>–</w:t>
            </w:r>
            <w:r w:rsidRPr="00EA09A1">
              <w:rPr>
                <w:rFonts w:eastAsia="Times New Roman"/>
                <w:sz w:val="20"/>
                <w:szCs w:val="20"/>
              </w:rPr>
              <w:t>34</w:t>
            </w:r>
          </w:p>
        </w:tc>
        <w:tc>
          <w:tcPr>
            <w:tcW w:w="1120" w:type="dxa"/>
            <w:tcBorders>
              <w:top w:val="single" w:sz="12" w:space="0" w:color="000000"/>
              <w:left w:val="single" w:sz="8" w:space="0" w:color="000000"/>
              <w:bottom w:val="single" w:sz="18" w:space="0" w:color="000000"/>
              <w:right w:val="single" w:sz="12" w:space="0" w:color="000000"/>
            </w:tcBorders>
            <w:vAlign w:val="center"/>
          </w:tcPr>
          <w:p w14:paraId="6EFAC0CF" w14:textId="3E6315BE" w:rsidR="00E9461C" w:rsidRPr="00EA09A1" w:rsidRDefault="00E9461C" w:rsidP="00B7664E">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35+</w:t>
            </w:r>
          </w:p>
        </w:tc>
      </w:tr>
      <w:tr w:rsidR="00E9461C" w:rsidRPr="00EA09A1" w14:paraId="106EEF65" w14:textId="77777777" w:rsidTr="00243ED1">
        <w:tblPrEx>
          <w:tblBorders>
            <w:top w:val="none" w:sz="0" w:space="0" w:color="auto"/>
          </w:tblBorders>
        </w:tblPrEx>
        <w:trPr>
          <w:trHeight w:val="243"/>
          <w:jc w:val="center"/>
        </w:trPr>
        <w:tc>
          <w:tcPr>
            <w:tcW w:w="3285" w:type="dxa"/>
            <w:tcBorders>
              <w:top w:val="single" w:sz="18" w:space="0" w:color="000000"/>
              <w:left w:val="single" w:sz="12" w:space="0" w:color="000000"/>
              <w:bottom w:val="single" w:sz="4" w:space="0" w:color="000000"/>
              <w:right w:val="single" w:sz="18" w:space="0" w:color="000000"/>
            </w:tcBorders>
            <w:vAlign w:val="center"/>
          </w:tcPr>
          <w:p w14:paraId="03CF654F" w14:textId="35F53FFC" w:rsidR="00E9461C" w:rsidRPr="00EA09A1" w:rsidRDefault="00E9461C"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Before Thanksgiving</w:t>
            </w:r>
          </w:p>
        </w:tc>
        <w:tc>
          <w:tcPr>
            <w:tcW w:w="1120" w:type="dxa"/>
            <w:tcBorders>
              <w:top w:val="single" w:sz="18" w:space="0" w:color="000000"/>
              <w:left w:val="single" w:sz="8" w:space="0" w:color="000000"/>
              <w:bottom w:val="single" w:sz="4" w:space="0" w:color="000000"/>
              <w:right w:val="single" w:sz="8" w:space="0" w:color="000000"/>
            </w:tcBorders>
            <w:vAlign w:val="center"/>
          </w:tcPr>
          <w:p w14:paraId="466E3DCC" w14:textId="7000351D" w:rsidR="00E9461C" w:rsidRPr="00EA09A1" w:rsidRDefault="00E9461C"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27.5%</w:t>
            </w:r>
          </w:p>
        </w:tc>
        <w:tc>
          <w:tcPr>
            <w:tcW w:w="1120" w:type="dxa"/>
            <w:tcBorders>
              <w:top w:val="single" w:sz="18" w:space="0" w:color="000000"/>
              <w:left w:val="single" w:sz="8" w:space="0" w:color="000000"/>
              <w:bottom w:val="single" w:sz="4" w:space="0" w:color="000000"/>
              <w:right w:val="single" w:sz="8" w:space="0" w:color="000000"/>
            </w:tcBorders>
            <w:shd w:val="clear" w:color="auto" w:fill="auto"/>
            <w:vAlign w:val="center"/>
          </w:tcPr>
          <w:p w14:paraId="2A158294" w14:textId="1B66EC64" w:rsidR="00E9461C" w:rsidRPr="00EA09A1" w:rsidRDefault="00E9461C"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37.5%</w:t>
            </w:r>
          </w:p>
        </w:tc>
        <w:tc>
          <w:tcPr>
            <w:tcW w:w="1120" w:type="dxa"/>
            <w:tcBorders>
              <w:top w:val="single" w:sz="18" w:space="0" w:color="000000"/>
              <w:left w:val="single" w:sz="8" w:space="0" w:color="000000"/>
              <w:bottom w:val="single" w:sz="4" w:space="0" w:color="000000"/>
              <w:right w:val="single" w:sz="12" w:space="0" w:color="000000"/>
            </w:tcBorders>
            <w:shd w:val="clear" w:color="auto" w:fill="auto"/>
            <w:vAlign w:val="center"/>
          </w:tcPr>
          <w:p w14:paraId="163F2B5B" w14:textId="545BFD11" w:rsidR="00E9461C" w:rsidRPr="00EA09A1" w:rsidRDefault="00E9461C"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40%</w:t>
            </w:r>
          </w:p>
        </w:tc>
      </w:tr>
      <w:tr w:rsidR="00E9461C" w:rsidRPr="00EA09A1" w14:paraId="1B4A34F4" w14:textId="77777777" w:rsidTr="00243ED1">
        <w:tblPrEx>
          <w:tblBorders>
            <w:top w:val="none" w:sz="0" w:space="0" w:color="auto"/>
          </w:tblBorders>
        </w:tblPrEx>
        <w:trPr>
          <w:trHeight w:val="243"/>
          <w:jc w:val="center"/>
        </w:trPr>
        <w:tc>
          <w:tcPr>
            <w:tcW w:w="3285" w:type="dxa"/>
            <w:tcBorders>
              <w:top w:val="single" w:sz="4" w:space="0" w:color="000000"/>
              <w:left w:val="single" w:sz="12" w:space="0" w:color="000000"/>
              <w:bottom w:val="single" w:sz="4" w:space="0" w:color="000000"/>
              <w:right w:val="single" w:sz="18" w:space="0" w:color="000000"/>
            </w:tcBorders>
            <w:vAlign w:val="center"/>
          </w:tcPr>
          <w:p w14:paraId="0AE2A50D" w14:textId="55DDAFE2" w:rsidR="00E9461C" w:rsidRPr="00EA09A1" w:rsidRDefault="00E9461C"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Thanksgiving Day (11/28/19)</w:t>
            </w:r>
          </w:p>
        </w:tc>
        <w:tc>
          <w:tcPr>
            <w:tcW w:w="1120" w:type="dxa"/>
            <w:tcBorders>
              <w:top w:val="single" w:sz="4" w:space="0" w:color="000000"/>
              <w:left w:val="single" w:sz="8" w:space="0" w:color="000000"/>
              <w:bottom w:val="single" w:sz="4" w:space="0" w:color="000000"/>
              <w:right w:val="single" w:sz="8" w:space="0" w:color="000000"/>
            </w:tcBorders>
            <w:vAlign w:val="center"/>
          </w:tcPr>
          <w:p w14:paraId="33E28F68" w14:textId="76CB62CD" w:rsidR="00E9461C" w:rsidRPr="00EA09A1" w:rsidRDefault="00E9461C"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5.05</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BC27283" w14:textId="55180EDD" w:rsidR="00E9461C" w:rsidRPr="00EA09A1" w:rsidRDefault="00E9461C"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4.0%</w:t>
            </w:r>
          </w:p>
        </w:tc>
        <w:tc>
          <w:tcPr>
            <w:tcW w:w="112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3DAFC5F6" w14:textId="1603C7F1" w:rsidR="00E9461C" w:rsidRPr="00EA09A1" w:rsidRDefault="00E9461C"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4.5%</w:t>
            </w:r>
          </w:p>
        </w:tc>
      </w:tr>
      <w:tr w:rsidR="00E9461C" w:rsidRPr="00EA09A1" w14:paraId="3D266EDA" w14:textId="77777777" w:rsidTr="00243ED1">
        <w:tblPrEx>
          <w:tblBorders>
            <w:top w:val="none" w:sz="0" w:space="0" w:color="auto"/>
          </w:tblBorders>
        </w:tblPrEx>
        <w:trPr>
          <w:trHeight w:val="243"/>
          <w:jc w:val="center"/>
        </w:trPr>
        <w:tc>
          <w:tcPr>
            <w:tcW w:w="3285" w:type="dxa"/>
            <w:tcBorders>
              <w:top w:val="single" w:sz="4" w:space="0" w:color="000000"/>
              <w:left w:val="single" w:sz="12" w:space="0" w:color="000000"/>
              <w:bottom w:val="single" w:sz="4" w:space="0" w:color="000000"/>
              <w:right w:val="single" w:sz="18" w:space="0" w:color="000000"/>
            </w:tcBorders>
            <w:vAlign w:val="center"/>
          </w:tcPr>
          <w:p w14:paraId="3C499703" w14:textId="3E467512" w:rsidR="00E9461C" w:rsidRPr="00EA09A1" w:rsidRDefault="00E9461C"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Black Friday (11/29/19)</w:t>
            </w:r>
          </w:p>
        </w:tc>
        <w:tc>
          <w:tcPr>
            <w:tcW w:w="1120" w:type="dxa"/>
            <w:tcBorders>
              <w:top w:val="single" w:sz="4" w:space="0" w:color="000000"/>
              <w:left w:val="single" w:sz="8" w:space="0" w:color="000000"/>
              <w:bottom w:val="single" w:sz="4" w:space="0" w:color="000000"/>
              <w:right w:val="single" w:sz="8" w:space="0" w:color="000000"/>
            </w:tcBorders>
            <w:vAlign w:val="center"/>
          </w:tcPr>
          <w:p w14:paraId="6E33174B" w14:textId="6E9B5ABC" w:rsidR="00E9461C" w:rsidRPr="00EA09A1" w:rsidRDefault="00E9461C"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32%</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95B663C" w14:textId="4AAAC47E" w:rsidR="00E9461C" w:rsidRPr="00EA09A1" w:rsidRDefault="00E9461C"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21%</w:t>
            </w:r>
          </w:p>
        </w:tc>
        <w:tc>
          <w:tcPr>
            <w:tcW w:w="112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326DE63D" w14:textId="39E83D5D" w:rsidR="00E9461C" w:rsidRPr="00EA09A1" w:rsidRDefault="00E9461C"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15%</w:t>
            </w:r>
          </w:p>
        </w:tc>
      </w:tr>
      <w:tr w:rsidR="00E9461C" w:rsidRPr="00EA09A1" w14:paraId="4013DB84" w14:textId="77777777" w:rsidTr="00243ED1">
        <w:tblPrEx>
          <w:tblBorders>
            <w:top w:val="none" w:sz="0" w:space="0" w:color="auto"/>
          </w:tblBorders>
        </w:tblPrEx>
        <w:trPr>
          <w:trHeight w:val="243"/>
          <w:jc w:val="center"/>
        </w:trPr>
        <w:tc>
          <w:tcPr>
            <w:tcW w:w="328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08DE2C2B" w14:textId="76CCAB32" w:rsidR="00E9461C" w:rsidRPr="00EA09A1" w:rsidRDefault="00E9461C"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Other November day</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E511196" w14:textId="12E85201" w:rsidR="00E9461C" w:rsidRPr="00EA09A1" w:rsidRDefault="00E9461C"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11%</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8848F1F" w14:textId="7D661DB5" w:rsidR="00E9461C" w:rsidRPr="00EA09A1" w:rsidRDefault="00E9461C"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12.5%</w:t>
            </w:r>
          </w:p>
        </w:tc>
        <w:tc>
          <w:tcPr>
            <w:tcW w:w="112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60733DB9" w14:textId="2352AE02" w:rsidR="00E9461C" w:rsidRPr="00EA09A1" w:rsidRDefault="00E9461C"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17%</w:t>
            </w:r>
          </w:p>
        </w:tc>
      </w:tr>
      <w:tr w:rsidR="00E9461C" w:rsidRPr="00EA09A1" w14:paraId="38946BFC" w14:textId="77777777" w:rsidTr="00243ED1">
        <w:tblPrEx>
          <w:tblBorders>
            <w:top w:val="none" w:sz="0" w:space="0" w:color="auto"/>
          </w:tblBorders>
        </w:tblPrEx>
        <w:trPr>
          <w:trHeight w:val="243"/>
          <w:jc w:val="center"/>
        </w:trPr>
        <w:tc>
          <w:tcPr>
            <w:tcW w:w="328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54D933B7" w14:textId="5B384516" w:rsidR="00E9461C" w:rsidRPr="00EA09A1" w:rsidRDefault="00E9461C"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Cyber Monday (12/2/19)</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BA1C860" w14:textId="6F7FF6A5" w:rsidR="00E9461C" w:rsidRPr="00EA09A1" w:rsidRDefault="00E9461C"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5.0%</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1A7A0E5" w14:textId="1DEAF2F1" w:rsidR="00E9461C" w:rsidRPr="00EA09A1" w:rsidRDefault="00E9461C"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5.5%</w:t>
            </w:r>
          </w:p>
        </w:tc>
        <w:tc>
          <w:tcPr>
            <w:tcW w:w="112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26D44629" w14:textId="5AAF6A34" w:rsidR="00E9461C" w:rsidRPr="00EA09A1" w:rsidRDefault="00E9461C"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3.0%</w:t>
            </w:r>
          </w:p>
        </w:tc>
      </w:tr>
      <w:tr w:rsidR="00E9461C" w:rsidRPr="00EA09A1" w14:paraId="570E5B98" w14:textId="77777777" w:rsidTr="00243ED1">
        <w:tblPrEx>
          <w:tblBorders>
            <w:top w:val="none" w:sz="0" w:space="0" w:color="auto"/>
          </w:tblBorders>
        </w:tblPrEx>
        <w:trPr>
          <w:trHeight w:val="243"/>
          <w:jc w:val="center"/>
        </w:trPr>
        <w:tc>
          <w:tcPr>
            <w:tcW w:w="3285" w:type="dxa"/>
            <w:tcBorders>
              <w:top w:val="single" w:sz="4" w:space="0" w:color="000000"/>
              <w:left w:val="single" w:sz="12" w:space="0" w:color="000000"/>
              <w:bottom w:val="single" w:sz="12" w:space="0" w:color="000000"/>
              <w:right w:val="single" w:sz="18" w:space="0" w:color="000000"/>
            </w:tcBorders>
            <w:vAlign w:val="center"/>
          </w:tcPr>
          <w:p w14:paraId="30FF7B43" w14:textId="0AC27662" w:rsidR="00E9461C" w:rsidRPr="00EA09A1" w:rsidRDefault="00E9461C"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Other December day</w:t>
            </w:r>
          </w:p>
        </w:tc>
        <w:tc>
          <w:tcPr>
            <w:tcW w:w="1120" w:type="dxa"/>
            <w:tcBorders>
              <w:top w:val="single" w:sz="4" w:space="0" w:color="000000"/>
              <w:left w:val="single" w:sz="8" w:space="0" w:color="000000"/>
              <w:bottom w:val="single" w:sz="12" w:space="0" w:color="000000"/>
              <w:right w:val="single" w:sz="8" w:space="0" w:color="000000"/>
            </w:tcBorders>
            <w:vAlign w:val="center"/>
          </w:tcPr>
          <w:p w14:paraId="54289593" w14:textId="7AEE0ED9" w:rsidR="00E9461C" w:rsidRPr="00EA09A1" w:rsidRDefault="00E9461C"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21%</w:t>
            </w:r>
          </w:p>
        </w:tc>
        <w:tc>
          <w:tcPr>
            <w:tcW w:w="1120" w:type="dxa"/>
            <w:tcBorders>
              <w:top w:val="single" w:sz="4" w:space="0" w:color="000000"/>
              <w:left w:val="single" w:sz="8" w:space="0" w:color="000000"/>
              <w:bottom w:val="single" w:sz="12" w:space="0" w:color="000000"/>
              <w:right w:val="single" w:sz="8" w:space="0" w:color="000000"/>
            </w:tcBorders>
            <w:shd w:val="clear" w:color="auto" w:fill="auto"/>
            <w:vAlign w:val="center"/>
          </w:tcPr>
          <w:p w14:paraId="0E6811FE" w14:textId="55905658" w:rsidR="00E9461C" w:rsidRPr="00EA09A1" w:rsidRDefault="00E9461C"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24.5%</w:t>
            </w:r>
          </w:p>
        </w:tc>
        <w:tc>
          <w:tcPr>
            <w:tcW w:w="1120" w:type="dxa"/>
            <w:tcBorders>
              <w:top w:val="single" w:sz="4" w:space="0" w:color="000000"/>
              <w:left w:val="single" w:sz="8" w:space="0" w:color="000000"/>
              <w:bottom w:val="single" w:sz="12" w:space="0" w:color="000000"/>
              <w:right w:val="single" w:sz="12" w:space="0" w:color="000000"/>
            </w:tcBorders>
            <w:shd w:val="clear" w:color="auto" w:fill="auto"/>
            <w:vAlign w:val="center"/>
          </w:tcPr>
          <w:p w14:paraId="4986E50F" w14:textId="4D02381E" w:rsidR="00E9461C" w:rsidRPr="00EA09A1" w:rsidRDefault="00E9461C"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22%</w:t>
            </w:r>
          </w:p>
        </w:tc>
      </w:tr>
    </w:tbl>
    <w:p w14:paraId="5CDCCCAE" w14:textId="05939CAD" w:rsidR="009E7FE6" w:rsidRPr="00EA09A1" w:rsidRDefault="00E9461C" w:rsidP="00243ED1">
      <w:pPr>
        <w:tabs>
          <w:tab w:val="left" w:pos="1350"/>
        </w:tabs>
        <w:spacing w:after="0" w:line="240" w:lineRule="auto"/>
        <w:contextualSpacing/>
        <w:mirrorIndents/>
        <w:rPr>
          <w:rFonts w:ascii="Verdana" w:hAnsi="Verdana"/>
          <w:sz w:val="20"/>
          <w:szCs w:val="20"/>
        </w:rPr>
      </w:pPr>
      <w:r w:rsidRPr="00EA09A1">
        <w:rPr>
          <w:sz w:val="16"/>
          <w:szCs w:val="16"/>
        </w:rPr>
        <w:tab/>
        <w:t>Tinuiti</w:t>
      </w:r>
      <w:r w:rsidR="009E7FE6" w:rsidRPr="00EA09A1">
        <w:rPr>
          <w:sz w:val="16"/>
          <w:szCs w:val="16"/>
        </w:rPr>
        <w:t xml:space="preserve">, October 2019 </w:t>
      </w:r>
    </w:p>
    <w:p w14:paraId="66887D46" w14:textId="1BEB8953" w:rsidR="00EA72B7" w:rsidRPr="00EA09A1" w:rsidRDefault="00EA72B7" w:rsidP="00005FF3">
      <w:pPr>
        <w:spacing w:after="0" w:line="240" w:lineRule="auto"/>
        <w:contextualSpacing/>
        <w:mirrorIndents/>
        <w:jc w:val="center"/>
        <w:rPr>
          <w:rFonts w:ascii="Verdana" w:hAnsi="Verdana"/>
          <w:b/>
          <w:color w:val="0070C0"/>
          <w:sz w:val="20"/>
          <w:szCs w:val="20"/>
        </w:rPr>
      </w:pPr>
      <w:r w:rsidRPr="00EA09A1">
        <w:rPr>
          <w:rFonts w:ascii="Verdana" w:hAnsi="Verdana"/>
          <w:b/>
          <w:color w:val="0070C0"/>
          <w:sz w:val="20"/>
          <w:szCs w:val="20"/>
        </w:rPr>
        <w:lastRenderedPageBreak/>
        <w:t xml:space="preserve">Spending: </w:t>
      </w:r>
      <w:r w:rsidR="009A50DA" w:rsidRPr="00EA09A1">
        <w:rPr>
          <w:rFonts w:ascii="Verdana" w:hAnsi="Verdana"/>
          <w:b/>
          <w:color w:val="0070C0"/>
          <w:sz w:val="20"/>
          <w:szCs w:val="20"/>
        </w:rPr>
        <w:t xml:space="preserve">What, </w:t>
      </w:r>
      <w:r w:rsidRPr="00EA09A1">
        <w:rPr>
          <w:rFonts w:ascii="Verdana" w:hAnsi="Verdana"/>
          <w:b/>
          <w:color w:val="0070C0"/>
          <w:sz w:val="20"/>
          <w:szCs w:val="20"/>
        </w:rPr>
        <w:t>When, Where and How</w:t>
      </w:r>
    </w:p>
    <w:p w14:paraId="1D3AD600" w14:textId="77777777" w:rsidR="00EA72B7" w:rsidRPr="00EA09A1" w:rsidRDefault="00EA72B7" w:rsidP="00EA72B7">
      <w:pPr>
        <w:spacing w:after="0" w:line="240" w:lineRule="auto"/>
        <w:contextualSpacing/>
        <w:mirrorIndents/>
        <w:rPr>
          <w:rFonts w:ascii="Verdana" w:hAnsi="Verdana"/>
          <w:sz w:val="20"/>
          <w:szCs w:val="20"/>
        </w:rPr>
      </w:pPr>
    </w:p>
    <w:p w14:paraId="5F913993" w14:textId="15D86882" w:rsidR="00005FF3" w:rsidRPr="00EA09A1" w:rsidRDefault="00B529C3" w:rsidP="00B529C3">
      <w:pPr>
        <w:pStyle w:val="ListParagraph"/>
        <w:numPr>
          <w:ilvl w:val="0"/>
          <w:numId w:val="4"/>
        </w:numPr>
        <w:spacing w:after="0" w:line="240" w:lineRule="auto"/>
        <w:mirrorIndents/>
        <w:rPr>
          <w:rFonts w:ascii="Verdana" w:hAnsi="Verdana"/>
          <w:sz w:val="20"/>
          <w:szCs w:val="20"/>
        </w:rPr>
      </w:pPr>
      <w:r w:rsidRPr="00EA09A1">
        <w:rPr>
          <w:rFonts w:ascii="Verdana" w:hAnsi="Verdana"/>
          <w:sz w:val="20"/>
          <w:szCs w:val="20"/>
        </w:rPr>
        <w:t>Unsurprisingly, numerous cred</w:t>
      </w:r>
      <w:r w:rsidR="00AE1DA7" w:rsidRPr="00EA09A1">
        <w:rPr>
          <w:rFonts w:ascii="Verdana" w:hAnsi="Verdana"/>
          <w:sz w:val="20"/>
          <w:szCs w:val="20"/>
        </w:rPr>
        <w:t>ible sources are predicting consumers will spend various average amounts during the 2019 holiday season. NRF forecasts an average of $1,047.83, with consumers 35</w:t>
      </w:r>
      <w:r w:rsidR="00AE1DA7" w:rsidRPr="00EA09A1">
        <w:rPr>
          <w:rFonts w:ascii="Verdana" w:eastAsia="Times New Roman" w:hAnsi="Verdana"/>
          <w:sz w:val="20"/>
          <w:szCs w:val="20"/>
        </w:rPr>
        <w:t>–44 spending the most, or an average of $1,158.63.</w:t>
      </w:r>
    </w:p>
    <w:p w14:paraId="6FD7656D" w14:textId="77777777" w:rsidR="00005FF3" w:rsidRPr="00EA09A1" w:rsidRDefault="00005FF3" w:rsidP="00EA72B7">
      <w:pPr>
        <w:spacing w:after="0" w:line="240" w:lineRule="auto"/>
        <w:contextualSpacing/>
        <w:mirrorIndents/>
        <w:rPr>
          <w:rFonts w:ascii="Verdana" w:hAnsi="Verdana"/>
          <w:sz w:val="20"/>
          <w:szCs w:val="20"/>
        </w:rPr>
      </w:pPr>
    </w:p>
    <w:p w14:paraId="010C6D9E" w14:textId="068AD465" w:rsidR="00005FF3" w:rsidRPr="00EA09A1" w:rsidRDefault="00AE1DA7" w:rsidP="00AE1DA7">
      <w:pPr>
        <w:pStyle w:val="ListParagraph"/>
        <w:numPr>
          <w:ilvl w:val="0"/>
          <w:numId w:val="4"/>
        </w:numPr>
        <w:spacing w:after="0" w:line="240" w:lineRule="auto"/>
        <w:mirrorIndents/>
        <w:rPr>
          <w:rFonts w:ascii="Verdana" w:hAnsi="Verdana"/>
          <w:sz w:val="20"/>
          <w:szCs w:val="20"/>
        </w:rPr>
      </w:pPr>
      <w:r w:rsidRPr="00EA09A1">
        <w:rPr>
          <w:rFonts w:ascii="Verdana" w:hAnsi="Verdana"/>
          <w:sz w:val="20"/>
          <w:szCs w:val="20"/>
        </w:rPr>
        <w:t>Deloitte’s prediction is an average of $1,496 per household for all holiday spending, $511 of which will be for gifts. Deloitte also reported “high spenders,” or those spending more than $2,100, account for 60% of all holiday spending</w:t>
      </w:r>
      <w:r w:rsidR="001A2257" w:rsidRPr="00EA09A1">
        <w:rPr>
          <w:rFonts w:ascii="Verdana" w:hAnsi="Verdana"/>
          <w:sz w:val="20"/>
          <w:szCs w:val="20"/>
        </w:rPr>
        <w:t>, and 65% are older than 40</w:t>
      </w:r>
      <w:r w:rsidRPr="00EA09A1">
        <w:rPr>
          <w:rFonts w:ascii="Verdana" w:hAnsi="Verdana"/>
          <w:sz w:val="20"/>
          <w:szCs w:val="20"/>
        </w:rPr>
        <w:t>.</w:t>
      </w:r>
    </w:p>
    <w:p w14:paraId="31F3A020" w14:textId="77777777" w:rsidR="00005FF3" w:rsidRPr="00EA09A1" w:rsidRDefault="00005FF3" w:rsidP="00EA72B7">
      <w:pPr>
        <w:spacing w:after="0" w:line="240" w:lineRule="auto"/>
        <w:contextualSpacing/>
        <w:mirrorIndents/>
        <w:rPr>
          <w:rFonts w:ascii="Verdana" w:hAnsi="Verdana"/>
          <w:sz w:val="20"/>
          <w:szCs w:val="20"/>
        </w:rPr>
      </w:pPr>
    </w:p>
    <w:p w14:paraId="010FDEB4" w14:textId="48100C48" w:rsidR="00005FF3" w:rsidRPr="00EA09A1" w:rsidRDefault="00AE1DA7" w:rsidP="00AE1DA7">
      <w:pPr>
        <w:pStyle w:val="ListParagraph"/>
        <w:numPr>
          <w:ilvl w:val="0"/>
          <w:numId w:val="4"/>
        </w:numPr>
        <w:spacing w:after="0" w:line="240" w:lineRule="auto"/>
        <w:mirrorIndents/>
        <w:rPr>
          <w:rFonts w:ascii="Verdana" w:hAnsi="Verdana"/>
          <w:sz w:val="20"/>
          <w:szCs w:val="20"/>
        </w:rPr>
      </w:pPr>
      <w:r w:rsidRPr="00EA09A1">
        <w:rPr>
          <w:rFonts w:ascii="Verdana" w:hAnsi="Verdana"/>
          <w:sz w:val="20"/>
          <w:szCs w:val="20"/>
        </w:rPr>
        <w:t>The 1,500 US consumers Accenture surveyed said they would spend an average of $637, with 57% stating they would spend at the same level as 2018, but 28% expect</w:t>
      </w:r>
      <w:r w:rsidR="001A2257" w:rsidRPr="00EA09A1">
        <w:rPr>
          <w:rFonts w:ascii="Verdana" w:hAnsi="Verdana"/>
          <w:sz w:val="20"/>
          <w:szCs w:val="20"/>
        </w:rPr>
        <w:t>ed</w:t>
      </w:r>
      <w:r w:rsidRPr="00EA09A1">
        <w:rPr>
          <w:rFonts w:ascii="Verdana" w:hAnsi="Verdana"/>
          <w:sz w:val="20"/>
          <w:szCs w:val="20"/>
        </w:rPr>
        <w:t xml:space="preserve"> to spend more than last year.</w:t>
      </w:r>
    </w:p>
    <w:p w14:paraId="1CA78F7D" w14:textId="633861CF" w:rsidR="00AE1DA7" w:rsidRPr="00EA09A1" w:rsidRDefault="00AE1DA7" w:rsidP="00AE1DA7">
      <w:pPr>
        <w:pStyle w:val="ListParagraph"/>
        <w:spacing w:after="0" w:line="240" w:lineRule="auto"/>
        <w:ind w:left="360"/>
        <w:mirrorIndents/>
        <w:rPr>
          <w:rFonts w:ascii="Verdana" w:hAnsi="Verdana"/>
          <w:sz w:val="20"/>
          <w:szCs w:val="20"/>
        </w:rPr>
      </w:pPr>
    </w:p>
    <w:p w14:paraId="6AA61719" w14:textId="6EB570F4" w:rsidR="00A94BBA" w:rsidRPr="00EA09A1" w:rsidRDefault="00A94BBA" w:rsidP="00A94BBA">
      <w:pPr>
        <w:pStyle w:val="Header"/>
        <w:contextualSpacing/>
        <w:jc w:val="center"/>
        <w:rPr>
          <w:b/>
          <w:sz w:val="20"/>
          <w:szCs w:val="20"/>
        </w:rPr>
      </w:pPr>
      <w:r w:rsidRPr="00EA09A1">
        <w:rPr>
          <w:b/>
          <w:sz w:val="20"/>
          <w:szCs w:val="20"/>
        </w:rPr>
        <w:t xml:space="preserve">Americans’ </w:t>
      </w:r>
      <w:r w:rsidR="00536A96" w:rsidRPr="00EA09A1">
        <w:rPr>
          <w:b/>
          <w:sz w:val="20"/>
          <w:szCs w:val="20"/>
        </w:rPr>
        <w:t xml:space="preserve">Average </w:t>
      </w:r>
      <w:r w:rsidRPr="00EA09A1">
        <w:rPr>
          <w:b/>
          <w:sz w:val="20"/>
          <w:szCs w:val="20"/>
        </w:rPr>
        <w:t>Holiday Spending Plans Each October, 2015</w:t>
      </w:r>
      <w:r w:rsidRPr="00EA09A1">
        <w:rPr>
          <w:rFonts w:ascii="Verdana" w:hAnsi="Verdana"/>
          <w:b/>
          <w:sz w:val="20"/>
          <w:szCs w:val="20"/>
        </w:rPr>
        <w:t>–</w:t>
      </w:r>
      <w:r w:rsidRPr="00EA09A1">
        <w:rPr>
          <w:b/>
          <w:sz w:val="20"/>
          <w:szCs w:val="20"/>
        </w:rPr>
        <w:t>2019</w:t>
      </w:r>
    </w:p>
    <w:tbl>
      <w:tblPr>
        <w:tblW w:w="241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207"/>
        <w:gridCol w:w="1208"/>
      </w:tblGrid>
      <w:tr w:rsidR="00A94BBA" w:rsidRPr="00EA09A1" w14:paraId="14C0A995" w14:textId="77777777" w:rsidTr="001A2257">
        <w:trPr>
          <w:jc w:val="center"/>
        </w:trPr>
        <w:tc>
          <w:tcPr>
            <w:tcW w:w="1207" w:type="dxa"/>
            <w:tcBorders>
              <w:top w:val="single" w:sz="12" w:space="0" w:color="000000"/>
              <w:left w:val="single" w:sz="12" w:space="0" w:color="000000"/>
              <w:bottom w:val="single" w:sz="18" w:space="0" w:color="000000"/>
              <w:right w:val="single" w:sz="18" w:space="0" w:color="000000"/>
            </w:tcBorders>
            <w:vAlign w:val="center"/>
          </w:tcPr>
          <w:p w14:paraId="00D10156" w14:textId="297B796E" w:rsidR="00A94BBA" w:rsidRPr="00EA09A1" w:rsidRDefault="00A94BBA" w:rsidP="00B7664E">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Year</w:t>
            </w:r>
          </w:p>
        </w:tc>
        <w:tc>
          <w:tcPr>
            <w:tcW w:w="1208" w:type="dxa"/>
            <w:tcBorders>
              <w:top w:val="single" w:sz="12" w:space="0" w:color="000000"/>
              <w:left w:val="single" w:sz="8" w:space="0" w:color="000000"/>
              <w:bottom w:val="single" w:sz="18" w:space="0" w:color="000000"/>
              <w:right w:val="single" w:sz="12" w:space="0" w:color="000000"/>
            </w:tcBorders>
            <w:vAlign w:val="center"/>
          </w:tcPr>
          <w:p w14:paraId="02B27F0C" w14:textId="0933B41F" w:rsidR="00A94BBA" w:rsidRPr="00EA09A1" w:rsidRDefault="00A94BBA" w:rsidP="00B7664E">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Amount</w:t>
            </w:r>
          </w:p>
        </w:tc>
      </w:tr>
      <w:tr w:rsidR="00A94BBA" w:rsidRPr="00EA09A1" w14:paraId="773390F3" w14:textId="77777777" w:rsidTr="001A2257">
        <w:tblPrEx>
          <w:tblBorders>
            <w:top w:val="none" w:sz="0" w:space="0" w:color="auto"/>
          </w:tblBorders>
        </w:tblPrEx>
        <w:trPr>
          <w:trHeight w:val="243"/>
          <w:jc w:val="center"/>
        </w:trPr>
        <w:tc>
          <w:tcPr>
            <w:tcW w:w="1207" w:type="dxa"/>
            <w:tcBorders>
              <w:top w:val="single" w:sz="18" w:space="0" w:color="000000"/>
              <w:left w:val="single" w:sz="12" w:space="0" w:color="000000"/>
              <w:bottom w:val="single" w:sz="4" w:space="0" w:color="000000"/>
              <w:right w:val="single" w:sz="18" w:space="0" w:color="000000"/>
            </w:tcBorders>
            <w:vAlign w:val="center"/>
          </w:tcPr>
          <w:p w14:paraId="3E3671C7" w14:textId="01371D03" w:rsidR="00A94BBA" w:rsidRPr="00EA09A1" w:rsidRDefault="00A94BBA"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2015</w:t>
            </w:r>
          </w:p>
        </w:tc>
        <w:tc>
          <w:tcPr>
            <w:tcW w:w="1208" w:type="dxa"/>
            <w:tcBorders>
              <w:top w:val="single" w:sz="18" w:space="0" w:color="000000"/>
              <w:left w:val="single" w:sz="8" w:space="0" w:color="000000"/>
              <w:bottom w:val="single" w:sz="4" w:space="0" w:color="000000"/>
              <w:right w:val="single" w:sz="12" w:space="0" w:color="000000"/>
            </w:tcBorders>
            <w:shd w:val="clear" w:color="auto" w:fill="auto"/>
            <w:vAlign w:val="center"/>
          </w:tcPr>
          <w:p w14:paraId="7BDA0D0C" w14:textId="2D2E072D" w:rsidR="00A94BBA" w:rsidRPr="00EA09A1" w:rsidRDefault="00536A96"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$812</w:t>
            </w:r>
          </w:p>
        </w:tc>
      </w:tr>
      <w:tr w:rsidR="00A94BBA" w:rsidRPr="00EA09A1" w14:paraId="6C0E9E62" w14:textId="77777777" w:rsidTr="001A2257">
        <w:tblPrEx>
          <w:tblBorders>
            <w:top w:val="none" w:sz="0" w:space="0" w:color="auto"/>
          </w:tblBorders>
        </w:tblPrEx>
        <w:trPr>
          <w:trHeight w:val="243"/>
          <w:jc w:val="center"/>
        </w:trPr>
        <w:tc>
          <w:tcPr>
            <w:tcW w:w="1207" w:type="dxa"/>
            <w:tcBorders>
              <w:top w:val="single" w:sz="4" w:space="0" w:color="000000"/>
              <w:left w:val="single" w:sz="12" w:space="0" w:color="000000"/>
              <w:bottom w:val="single" w:sz="4" w:space="0" w:color="000000"/>
              <w:right w:val="single" w:sz="18" w:space="0" w:color="000000"/>
            </w:tcBorders>
            <w:vAlign w:val="center"/>
          </w:tcPr>
          <w:p w14:paraId="33894510" w14:textId="098C7E6C" w:rsidR="00A94BBA" w:rsidRPr="00EA09A1" w:rsidRDefault="00A94BBA"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2016</w:t>
            </w:r>
          </w:p>
        </w:tc>
        <w:tc>
          <w:tcPr>
            <w:tcW w:w="120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0EF870DE" w14:textId="1994586A" w:rsidR="00A94BBA" w:rsidRPr="00EA09A1" w:rsidRDefault="00536A96"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$785</w:t>
            </w:r>
          </w:p>
        </w:tc>
      </w:tr>
      <w:tr w:rsidR="00A94BBA" w:rsidRPr="00EA09A1" w14:paraId="4C3720CB" w14:textId="77777777" w:rsidTr="001A2257">
        <w:tblPrEx>
          <w:tblBorders>
            <w:top w:val="none" w:sz="0" w:space="0" w:color="auto"/>
          </w:tblBorders>
        </w:tblPrEx>
        <w:trPr>
          <w:trHeight w:val="243"/>
          <w:jc w:val="center"/>
        </w:trPr>
        <w:tc>
          <w:tcPr>
            <w:tcW w:w="1207"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07DEF61D" w14:textId="193F29C7" w:rsidR="00A94BBA" w:rsidRPr="00EA09A1" w:rsidRDefault="00A94BBA"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2017</w:t>
            </w:r>
          </w:p>
        </w:tc>
        <w:tc>
          <w:tcPr>
            <w:tcW w:w="120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744312DA" w14:textId="0D70A6C3" w:rsidR="00A94BBA" w:rsidRPr="00EA09A1" w:rsidRDefault="00536A96"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$906</w:t>
            </w:r>
          </w:p>
        </w:tc>
      </w:tr>
      <w:tr w:rsidR="00A94BBA" w:rsidRPr="00EA09A1" w14:paraId="3FB640F2" w14:textId="77777777" w:rsidTr="001A2257">
        <w:tblPrEx>
          <w:tblBorders>
            <w:top w:val="none" w:sz="0" w:space="0" w:color="auto"/>
          </w:tblBorders>
        </w:tblPrEx>
        <w:trPr>
          <w:trHeight w:val="243"/>
          <w:jc w:val="center"/>
        </w:trPr>
        <w:tc>
          <w:tcPr>
            <w:tcW w:w="1207"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79F1DF4A" w14:textId="4A6FCA76" w:rsidR="00A94BBA" w:rsidRPr="00EA09A1" w:rsidRDefault="00A94BBA"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2018</w:t>
            </w:r>
          </w:p>
        </w:tc>
        <w:tc>
          <w:tcPr>
            <w:tcW w:w="120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60E1563D" w14:textId="30919E48" w:rsidR="00A94BBA" w:rsidRPr="00EA09A1" w:rsidRDefault="00536A96"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$885</w:t>
            </w:r>
          </w:p>
        </w:tc>
      </w:tr>
      <w:tr w:rsidR="00A94BBA" w:rsidRPr="00EA09A1" w14:paraId="1F7EC0D5" w14:textId="77777777" w:rsidTr="001A2257">
        <w:tblPrEx>
          <w:tblBorders>
            <w:top w:val="none" w:sz="0" w:space="0" w:color="auto"/>
          </w:tblBorders>
        </w:tblPrEx>
        <w:trPr>
          <w:trHeight w:val="243"/>
          <w:jc w:val="center"/>
        </w:trPr>
        <w:tc>
          <w:tcPr>
            <w:tcW w:w="1207" w:type="dxa"/>
            <w:tcBorders>
              <w:top w:val="single" w:sz="4" w:space="0" w:color="000000"/>
              <w:left w:val="single" w:sz="12" w:space="0" w:color="000000"/>
              <w:bottom w:val="single" w:sz="12" w:space="0" w:color="000000"/>
              <w:right w:val="single" w:sz="18" w:space="0" w:color="000000"/>
            </w:tcBorders>
            <w:vAlign w:val="center"/>
          </w:tcPr>
          <w:p w14:paraId="4DE65523" w14:textId="0A206B63" w:rsidR="00A94BBA" w:rsidRPr="00EA09A1" w:rsidRDefault="00A94BBA"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2019</w:t>
            </w:r>
          </w:p>
        </w:tc>
        <w:tc>
          <w:tcPr>
            <w:tcW w:w="1208" w:type="dxa"/>
            <w:tcBorders>
              <w:top w:val="single" w:sz="4" w:space="0" w:color="000000"/>
              <w:left w:val="single" w:sz="8" w:space="0" w:color="000000"/>
              <w:bottom w:val="single" w:sz="12" w:space="0" w:color="000000"/>
              <w:right w:val="single" w:sz="12" w:space="0" w:color="000000"/>
            </w:tcBorders>
            <w:shd w:val="clear" w:color="auto" w:fill="auto"/>
            <w:vAlign w:val="center"/>
          </w:tcPr>
          <w:p w14:paraId="2BB6D10E" w14:textId="1EDA995D" w:rsidR="00A94BBA" w:rsidRPr="00EA09A1" w:rsidRDefault="00536A96" w:rsidP="00B7664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$942</w:t>
            </w:r>
          </w:p>
        </w:tc>
      </w:tr>
    </w:tbl>
    <w:p w14:paraId="5CB86E70" w14:textId="043F2E98" w:rsidR="00A94BBA" w:rsidRPr="00EA09A1" w:rsidRDefault="00A94BBA" w:rsidP="00536A96">
      <w:pPr>
        <w:tabs>
          <w:tab w:val="left" w:pos="3510"/>
        </w:tabs>
        <w:spacing w:after="0" w:line="240" w:lineRule="auto"/>
        <w:contextualSpacing/>
        <w:mirrorIndents/>
        <w:rPr>
          <w:rFonts w:ascii="Verdana" w:hAnsi="Verdana"/>
          <w:sz w:val="20"/>
          <w:szCs w:val="20"/>
        </w:rPr>
      </w:pPr>
      <w:r w:rsidRPr="00EA09A1">
        <w:rPr>
          <w:sz w:val="16"/>
          <w:szCs w:val="16"/>
        </w:rPr>
        <w:tab/>
      </w:r>
      <w:r w:rsidR="00536A96" w:rsidRPr="00EA09A1">
        <w:rPr>
          <w:sz w:val="16"/>
          <w:szCs w:val="16"/>
        </w:rPr>
        <w:t>Gallup</w:t>
      </w:r>
      <w:r w:rsidRPr="00EA09A1">
        <w:rPr>
          <w:sz w:val="16"/>
          <w:szCs w:val="16"/>
        </w:rPr>
        <w:t xml:space="preserve">, </w:t>
      </w:r>
      <w:r w:rsidR="00536A96" w:rsidRPr="00EA09A1">
        <w:rPr>
          <w:sz w:val="16"/>
          <w:szCs w:val="16"/>
        </w:rPr>
        <w:t>Novem</w:t>
      </w:r>
      <w:r w:rsidRPr="00EA09A1">
        <w:rPr>
          <w:sz w:val="16"/>
          <w:szCs w:val="16"/>
        </w:rPr>
        <w:t xml:space="preserve">ber 2019 </w:t>
      </w:r>
    </w:p>
    <w:p w14:paraId="050D3345" w14:textId="66749536" w:rsidR="00AE1DA7" w:rsidRPr="00EA09A1" w:rsidRDefault="00AE1DA7" w:rsidP="00AE1DA7">
      <w:pPr>
        <w:pStyle w:val="ListParagraph"/>
        <w:spacing w:after="0" w:line="240" w:lineRule="auto"/>
        <w:ind w:left="360"/>
        <w:mirrorIndents/>
        <w:rPr>
          <w:rFonts w:ascii="Verdana" w:hAnsi="Verdana"/>
          <w:sz w:val="20"/>
          <w:szCs w:val="20"/>
        </w:rPr>
      </w:pPr>
    </w:p>
    <w:p w14:paraId="7530833B" w14:textId="6A52AEFC" w:rsidR="00EA72B7" w:rsidRPr="00EA09A1" w:rsidRDefault="00EA72B7" w:rsidP="00153C9F">
      <w:pPr>
        <w:spacing w:after="0" w:line="240" w:lineRule="auto"/>
        <w:contextualSpacing/>
        <w:mirrorIndents/>
        <w:jc w:val="center"/>
        <w:rPr>
          <w:rFonts w:ascii="Verdana" w:hAnsi="Verdana"/>
          <w:b/>
          <w:color w:val="0070C0"/>
          <w:sz w:val="20"/>
          <w:szCs w:val="20"/>
        </w:rPr>
      </w:pPr>
      <w:r w:rsidRPr="00EA09A1">
        <w:rPr>
          <w:rFonts w:ascii="Verdana" w:hAnsi="Verdana"/>
          <w:b/>
          <w:color w:val="0070C0"/>
          <w:sz w:val="20"/>
          <w:szCs w:val="20"/>
        </w:rPr>
        <w:t>Brick-and-Mortar Stores Still Sparkle for Shoppers</w:t>
      </w:r>
    </w:p>
    <w:p w14:paraId="61276857" w14:textId="77777777" w:rsidR="00EA72B7" w:rsidRPr="00EA09A1" w:rsidRDefault="00EA72B7" w:rsidP="00EA72B7">
      <w:pPr>
        <w:spacing w:after="0" w:line="240" w:lineRule="auto"/>
        <w:contextualSpacing/>
        <w:mirrorIndents/>
        <w:rPr>
          <w:rFonts w:ascii="Verdana" w:hAnsi="Verdana"/>
          <w:sz w:val="20"/>
          <w:szCs w:val="20"/>
        </w:rPr>
      </w:pPr>
    </w:p>
    <w:p w14:paraId="4F15F3DF" w14:textId="2AB40F82" w:rsidR="00184D24" w:rsidRPr="00EA09A1" w:rsidRDefault="00153C9F" w:rsidP="00153C9F">
      <w:pPr>
        <w:pStyle w:val="ListParagraph"/>
        <w:numPr>
          <w:ilvl w:val="0"/>
          <w:numId w:val="5"/>
        </w:numPr>
        <w:spacing w:after="0" w:line="240" w:lineRule="auto"/>
        <w:mirrorIndents/>
        <w:rPr>
          <w:rFonts w:ascii="Verdana" w:hAnsi="Verdana"/>
          <w:sz w:val="20"/>
          <w:szCs w:val="20"/>
        </w:rPr>
      </w:pPr>
      <w:r w:rsidRPr="00EA09A1">
        <w:rPr>
          <w:rFonts w:ascii="Verdana" w:hAnsi="Verdana"/>
          <w:sz w:val="20"/>
          <w:szCs w:val="20"/>
        </w:rPr>
        <w:t>According to Tinu</w:t>
      </w:r>
      <w:r w:rsidR="001A2257" w:rsidRPr="00EA09A1">
        <w:rPr>
          <w:rFonts w:ascii="Verdana" w:hAnsi="Verdana"/>
          <w:sz w:val="20"/>
          <w:szCs w:val="20"/>
        </w:rPr>
        <w:t>i</w:t>
      </w:r>
      <w:r w:rsidRPr="00EA09A1">
        <w:rPr>
          <w:rFonts w:ascii="Verdana" w:hAnsi="Verdana"/>
          <w:sz w:val="20"/>
          <w:szCs w:val="20"/>
        </w:rPr>
        <w:t>ti’s survey of more than 2,000 online participants during June/July 2019, 31.6% said they would shop in-store during the 2019 holiday shopping season, a 10.9% increase from 2018.</w:t>
      </w:r>
    </w:p>
    <w:p w14:paraId="75299FAC" w14:textId="77777777" w:rsidR="00184D24" w:rsidRPr="00EA09A1" w:rsidRDefault="00184D24" w:rsidP="00EA72B7">
      <w:pPr>
        <w:spacing w:after="0" w:line="240" w:lineRule="auto"/>
        <w:contextualSpacing/>
        <w:mirrorIndents/>
        <w:rPr>
          <w:rFonts w:ascii="Verdana" w:hAnsi="Verdana"/>
          <w:sz w:val="20"/>
          <w:szCs w:val="20"/>
        </w:rPr>
      </w:pPr>
    </w:p>
    <w:p w14:paraId="10399324" w14:textId="58C3B089" w:rsidR="00184D24" w:rsidRPr="00EA09A1" w:rsidRDefault="00153C9F" w:rsidP="00153C9F">
      <w:pPr>
        <w:pStyle w:val="ListParagraph"/>
        <w:numPr>
          <w:ilvl w:val="0"/>
          <w:numId w:val="5"/>
        </w:numPr>
        <w:spacing w:after="0" w:line="240" w:lineRule="auto"/>
        <w:mirrorIndents/>
        <w:rPr>
          <w:rFonts w:ascii="Verdana" w:hAnsi="Verdana"/>
          <w:sz w:val="20"/>
          <w:szCs w:val="20"/>
        </w:rPr>
      </w:pPr>
      <w:r w:rsidRPr="00EA09A1">
        <w:rPr>
          <w:rFonts w:ascii="Verdana" w:hAnsi="Verdana"/>
          <w:sz w:val="20"/>
          <w:szCs w:val="20"/>
        </w:rPr>
        <w:t>The Tinu</w:t>
      </w:r>
      <w:r w:rsidR="001A2257" w:rsidRPr="00EA09A1">
        <w:rPr>
          <w:rFonts w:ascii="Verdana" w:hAnsi="Verdana"/>
          <w:sz w:val="20"/>
          <w:szCs w:val="20"/>
        </w:rPr>
        <w:t>i</w:t>
      </w:r>
      <w:r w:rsidRPr="00EA09A1">
        <w:rPr>
          <w:rFonts w:ascii="Verdana" w:hAnsi="Verdana"/>
          <w:sz w:val="20"/>
          <w:szCs w:val="20"/>
        </w:rPr>
        <w:t xml:space="preserve">ti survey also revealed most survey respondents, or 44.8% would shop both primary channels, in-store and online, compared to approximately 46% during the 2018 season. </w:t>
      </w:r>
      <w:r w:rsidR="00243ED1" w:rsidRPr="00EA09A1">
        <w:rPr>
          <w:rFonts w:ascii="Verdana" w:hAnsi="Verdana"/>
          <w:sz w:val="20"/>
          <w:szCs w:val="20"/>
        </w:rPr>
        <w:t>Of t</w:t>
      </w:r>
      <w:r w:rsidRPr="00EA09A1">
        <w:rPr>
          <w:rFonts w:ascii="Verdana" w:hAnsi="Verdana"/>
          <w:sz w:val="20"/>
          <w:szCs w:val="20"/>
        </w:rPr>
        <w:t>hose consumers who spend the most</w:t>
      </w:r>
      <w:r w:rsidR="00243ED1" w:rsidRPr="00EA09A1">
        <w:rPr>
          <w:rFonts w:ascii="Verdana" w:hAnsi="Verdana"/>
          <w:sz w:val="20"/>
          <w:szCs w:val="20"/>
        </w:rPr>
        <w:t>, 51.4% shop both in-store and online.</w:t>
      </w:r>
    </w:p>
    <w:p w14:paraId="5137A280" w14:textId="77777777" w:rsidR="00243ED1" w:rsidRPr="00EA09A1" w:rsidRDefault="00243ED1" w:rsidP="00EA72B7">
      <w:pPr>
        <w:spacing w:after="0" w:line="240" w:lineRule="auto"/>
        <w:contextualSpacing/>
        <w:mirrorIndents/>
        <w:rPr>
          <w:rFonts w:ascii="Verdana" w:hAnsi="Verdana"/>
          <w:sz w:val="20"/>
          <w:szCs w:val="20"/>
        </w:rPr>
      </w:pPr>
    </w:p>
    <w:p w14:paraId="6F934E7A" w14:textId="2D6FED26" w:rsidR="00243ED1" w:rsidRPr="00EA09A1" w:rsidRDefault="00243ED1" w:rsidP="00243ED1">
      <w:pPr>
        <w:pStyle w:val="ListParagraph"/>
        <w:numPr>
          <w:ilvl w:val="0"/>
          <w:numId w:val="5"/>
        </w:numPr>
        <w:spacing w:after="0" w:line="240" w:lineRule="auto"/>
        <w:mirrorIndents/>
        <w:rPr>
          <w:rFonts w:ascii="Verdana" w:hAnsi="Verdana"/>
          <w:sz w:val="20"/>
          <w:szCs w:val="20"/>
        </w:rPr>
      </w:pPr>
      <w:r w:rsidRPr="00EA09A1">
        <w:rPr>
          <w:rFonts w:ascii="Verdana" w:hAnsi="Verdana"/>
          <w:sz w:val="20"/>
          <w:szCs w:val="20"/>
        </w:rPr>
        <w:t>Field Agent’s survey of more than 4,000 US holiday shoppers found 38% of them said they are likely to shop at five or more brick-and-mortar stores for the 2019 holiday shopping season, with 23%, the most, at 3 stores, and 19% said 6 to 10 stores.</w:t>
      </w:r>
    </w:p>
    <w:p w14:paraId="260D9C35" w14:textId="77777777" w:rsidR="00243ED1" w:rsidRPr="00EA09A1" w:rsidRDefault="00243ED1" w:rsidP="00EA72B7">
      <w:pPr>
        <w:spacing w:after="0" w:line="240" w:lineRule="auto"/>
        <w:contextualSpacing/>
        <w:mirrorIndents/>
        <w:rPr>
          <w:rFonts w:ascii="Verdana" w:hAnsi="Verdana"/>
          <w:sz w:val="20"/>
          <w:szCs w:val="20"/>
        </w:rPr>
      </w:pPr>
    </w:p>
    <w:p w14:paraId="12A1B3D4" w14:textId="77777777" w:rsidR="00243ED1" w:rsidRPr="00EA09A1" w:rsidRDefault="00243ED1" w:rsidP="00243ED1">
      <w:pPr>
        <w:pStyle w:val="Header"/>
        <w:contextualSpacing/>
        <w:jc w:val="center"/>
        <w:rPr>
          <w:b/>
          <w:sz w:val="20"/>
          <w:szCs w:val="20"/>
        </w:rPr>
      </w:pPr>
      <w:r w:rsidRPr="00EA09A1">
        <w:rPr>
          <w:b/>
          <w:sz w:val="20"/>
          <w:szCs w:val="20"/>
        </w:rPr>
        <w:t xml:space="preserve">Where Consumers Plan to Shop for the Majority of </w:t>
      </w:r>
    </w:p>
    <w:p w14:paraId="39B9E970" w14:textId="68C6185E" w:rsidR="00243ED1" w:rsidRPr="00EA09A1" w:rsidRDefault="00243ED1" w:rsidP="00243ED1">
      <w:pPr>
        <w:pStyle w:val="Header"/>
        <w:contextualSpacing/>
        <w:jc w:val="center"/>
        <w:rPr>
          <w:b/>
          <w:sz w:val="20"/>
          <w:szCs w:val="20"/>
        </w:rPr>
      </w:pPr>
      <w:r w:rsidRPr="00EA09A1">
        <w:rPr>
          <w:b/>
          <w:sz w:val="20"/>
          <w:szCs w:val="20"/>
        </w:rPr>
        <w:t>Their Holiday 2019 Gifts, by Age, October 2019</w:t>
      </w:r>
    </w:p>
    <w:tbl>
      <w:tblPr>
        <w:tblW w:w="7110"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155"/>
        <w:gridCol w:w="992"/>
        <w:gridCol w:w="1003"/>
        <w:gridCol w:w="982"/>
        <w:gridCol w:w="998"/>
        <w:gridCol w:w="987"/>
        <w:gridCol w:w="993"/>
      </w:tblGrid>
      <w:tr w:rsidR="00243ED1" w:rsidRPr="00EA09A1" w14:paraId="53E4BBA1" w14:textId="77777777" w:rsidTr="00D0721F">
        <w:trPr>
          <w:jc w:val="center"/>
        </w:trPr>
        <w:tc>
          <w:tcPr>
            <w:tcW w:w="1155" w:type="dxa"/>
            <w:tcBorders>
              <w:top w:val="single" w:sz="12" w:space="0" w:color="000000"/>
              <w:left w:val="single" w:sz="12" w:space="0" w:color="000000"/>
              <w:bottom w:val="single" w:sz="12" w:space="0" w:color="auto"/>
              <w:right w:val="single" w:sz="18" w:space="0" w:color="000000"/>
            </w:tcBorders>
            <w:vAlign w:val="center"/>
          </w:tcPr>
          <w:p w14:paraId="2C3D44D5" w14:textId="1EC09678" w:rsidR="00243ED1" w:rsidRPr="00EA09A1" w:rsidRDefault="00243ED1" w:rsidP="00B7664E">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Channel</w:t>
            </w:r>
          </w:p>
        </w:tc>
        <w:tc>
          <w:tcPr>
            <w:tcW w:w="1995" w:type="dxa"/>
            <w:gridSpan w:val="2"/>
            <w:tcBorders>
              <w:top w:val="single" w:sz="12" w:space="0" w:color="000000"/>
              <w:left w:val="single" w:sz="8" w:space="0" w:color="000000"/>
              <w:bottom w:val="single" w:sz="12" w:space="0" w:color="auto"/>
              <w:right w:val="single" w:sz="12" w:space="0" w:color="auto"/>
            </w:tcBorders>
            <w:vAlign w:val="center"/>
          </w:tcPr>
          <w:p w14:paraId="45865C5F" w14:textId="77777777" w:rsidR="00243ED1" w:rsidRPr="00EA09A1" w:rsidRDefault="00243ED1" w:rsidP="00B7664E">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18</w:t>
            </w:r>
            <w:r w:rsidRPr="00EA09A1">
              <w:rPr>
                <w:rFonts w:ascii="Verdana" w:eastAsia="Times New Roman" w:hAnsi="Verdana"/>
                <w:sz w:val="20"/>
                <w:szCs w:val="20"/>
              </w:rPr>
              <w:t>–</w:t>
            </w:r>
            <w:r w:rsidRPr="00EA09A1">
              <w:rPr>
                <w:rFonts w:eastAsia="Times New Roman"/>
                <w:sz w:val="20"/>
                <w:szCs w:val="20"/>
              </w:rPr>
              <w:t>24</w:t>
            </w:r>
          </w:p>
        </w:tc>
        <w:tc>
          <w:tcPr>
            <w:tcW w:w="1980" w:type="dxa"/>
            <w:gridSpan w:val="2"/>
            <w:tcBorders>
              <w:top w:val="single" w:sz="12" w:space="0" w:color="000000"/>
              <w:left w:val="single" w:sz="12" w:space="0" w:color="auto"/>
              <w:bottom w:val="single" w:sz="12" w:space="0" w:color="auto"/>
              <w:right w:val="single" w:sz="12" w:space="0" w:color="auto"/>
            </w:tcBorders>
            <w:vAlign w:val="center"/>
          </w:tcPr>
          <w:p w14:paraId="4E927CCE" w14:textId="77777777" w:rsidR="00243ED1" w:rsidRPr="00EA09A1" w:rsidRDefault="00243ED1" w:rsidP="00B7664E">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25</w:t>
            </w:r>
            <w:r w:rsidRPr="00EA09A1">
              <w:rPr>
                <w:rFonts w:ascii="Verdana" w:eastAsia="Times New Roman" w:hAnsi="Verdana"/>
                <w:sz w:val="20"/>
                <w:szCs w:val="20"/>
              </w:rPr>
              <w:t>–</w:t>
            </w:r>
            <w:r w:rsidRPr="00EA09A1">
              <w:rPr>
                <w:rFonts w:eastAsia="Times New Roman"/>
                <w:sz w:val="20"/>
                <w:szCs w:val="20"/>
              </w:rPr>
              <w:t>34</w:t>
            </w:r>
          </w:p>
        </w:tc>
        <w:tc>
          <w:tcPr>
            <w:tcW w:w="1980" w:type="dxa"/>
            <w:gridSpan w:val="2"/>
            <w:tcBorders>
              <w:top w:val="single" w:sz="12" w:space="0" w:color="000000"/>
              <w:left w:val="single" w:sz="12" w:space="0" w:color="auto"/>
              <w:bottom w:val="single" w:sz="12" w:space="0" w:color="auto"/>
              <w:right w:val="single" w:sz="12" w:space="0" w:color="000000"/>
            </w:tcBorders>
            <w:vAlign w:val="center"/>
          </w:tcPr>
          <w:p w14:paraId="64CAD1EF" w14:textId="77777777" w:rsidR="00243ED1" w:rsidRPr="00EA09A1" w:rsidRDefault="00243ED1" w:rsidP="00B7664E">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35+</w:t>
            </w:r>
          </w:p>
        </w:tc>
      </w:tr>
      <w:tr w:rsidR="00243ED1" w:rsidRPr="00EA09A1" w14:paraId="66A6A87A" w14:textId="4B721337" w:rsidTr="00D0721F">
        <w:tblPrEx>
          <w:tblBorders>
            <w:top w:val="none" w:sz="0" w:space="0" w:color="auto"/>
          </w:tblBorders>
        </w:tblPrEx>
        <w:trPr>
          <w:trHeight w:val="243"/>
          <w:jc w:val="center"/>
        </w:trPr>
        <w:tc>
          <w:tcPr>
            <w:tcW w:w="1155" w:type="dxa"/>
            <w:tcBorders>
              <w:top w:val="single" w:sz="12" w:space="0" w:color="auto"/>
              <w:left w:val="single" w:sz="12" w:space="0" w:color="000000"/>
              <w:bottom w:val="single" w:sz="18" w:space="0" w:color="auto"/>
              <w:right w:val="single" w:sz="18" w:space="0" w:color="000000"/>
            </w:tcBorders>
            <w:vAlign w:val="center"/>
          </w:tcPr>
          <w:p w14:paraId="08FEE85B" w14:textId="19DC6808" w:rsidR="00243ED1" w:rsidRPr="00EA09A1" w:rsidRDefault="00243ED1"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p>
        </w:tc>
        <w:tc>
          <w:tcPr>
            <w:tcW w:w="992" w:type="dxa"/>
            <w:tcBorders>
              <w:top w:val="single" w:sz="12" w:space="0" w:color="auto"/>
              <w:left w:val="single" w:sz="8" w:space="0" w:color="000000"/>
              <w:bottom w:val="single" w:sz="18" w:space="0" w:color="auto"/>
              <w:right w:val="single" w:sz="8" w:space="0" w:color="auto"/>
            </w:tcBorders>
            <w:vAlign w:val="center"/>
          </w:tcPr>
          <w:p w14:paraId="3624AEDF" w14:textId="53902B35" w:rsidR="00243ED1" w:rsidRPr="00EA09A1" w:rsidRDefault="00243ED1"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eastAsia="Times New Roman"/>
                <w:sz w:val="20"/>
                <w:szCs w:val="20"/>
              </w:rPr>
            </w:pPr>
            <w:r w:rsidRPr="00EA09A1">
              <w:rPr>
                <w:rFonts w:eastAsia="Times New Roman"/>
                <w:sz w:val="20"/>
                <w:szCs w:val="20"/>
              </w:rPr>
              <w:t>2018</w:t>
            </w:r>
          </w:p>
        </w:tc>
        <w:tc>
          <w:tcPr>
            <w:tcW w:w="1003" w:type="dxa"/>
            <w:tcBorders>
              <w:top w:val="single" w:sz="12" w:space="0" w:color="auto"/>
              <w:left w:val="single" w:sz="8" w:space="0" w:color="auto"/>
              <w:bottom w:val="single" w:sz="18" w:space="0" w:color="auto"/>
              <w:right w:val="single" w:sz="12" w:space="0" w:color="auto"/>
            </w:tcBorders>
            <w:vAlign w:val="center"/>
          </w:tcPr>
          <w:p w14:paraId="75C43C57" w14:textId="6F01A0BD" w:rsidR="00243ED1" w:rsidRPr="00EA09A1" w:rsidRDefault="00243ED1"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eastAsia="Times New Roman"/>
                <w:sz w:val="20"/>
                <w:szCs w:val="20"/>
              </w:rPr>
            </w:pPr>
            <w:r w:rsidRPr="00EA09A1">
              <w:rPr>
                <w:rFonts w:eastAsia="Times New Roman"/>
                <w:sz w:val="20"/>
                <w:szCs w:val="20"/>
              </w:rPr>
              <w:t>2019</w:t>
            </w:r>
          </w:p>
        </w:tc>
        <w:tc>
          <w:tcPr>
            <w:tcW w:w="982" w:type="dxa"/>
            <w:tcBorders>
              <w:top w:val="single" w:sz="12" w:space="0" w:color="auto"/>
              <w:left w:val="single" w:sz="12" w:space="0" w:color="auto"/>
              <w:bottom w:val="single" w:sz="18" w:space="0" w:color="auto"/>
              <w:right w:val="single" w:sz="8" w:space="0" w:color="auto"/>
            </w:tcBorders>
            <w:shd w:val="clear" w:color="auto" w:fill="auto"/>
            <w:vAlign w:val="center"/>
          </w:tcPr>
          <w:p w14:paraId="38556340" w14:textId="06499F03" w:rsidR="00243ED1" w:rsidRPr="00EA09A1" w:rsidRDefault="00243ED1"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eastAsia="Times New Roman"/>
                <w:sz w:val="20"/>
                <w:szCs w:val="20"/>
              </w:rPr>
            </w:pPr>
            <w:r w:rsidRPr="00EA09A1">
              <w:rPr>
                <w:rFonts w:eastAsia="Times New Roman"/>
                <w:sz w:val="20"/>
                <w:szCs w:val="20"/>
              </w:rPr>
              <w:t>2018</w:t>
            </w:r>
          </w:p>
        </w:tc>
        <w:tc>
          <w:tcPr>
            <w:tcW w:w="998" w:type="dxa"/>
            <w:tcBorders>
              <w:top w:val="single" w:sz="12" w:space="0" w:color="auto"/>
              <w:left w:val="single" w:sz="8" w:space="0" w:color="auto"/>
              <w:bottom w:val="single" w:sz="18" w:space="0" w:color="auto"/>
              <w:right w:val="single" w:sz="12" w:space="0" w:color="auto"/>
            </w:tcBorders>
            <w:shd w:val="clear" w:color="auto" w:fill="auto"/>
            <w:vAlign w:val="center"/>
          </w:tcPr>
          <w:p w14:paraId="222F320B" w14:textId="40900262" w:rsidR="00243ED1" w:rsidRPr="00EA09A1" w:rsidRDefault="00243ED1"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eastAsia="Times New Roman"/>
                <w:sz w:val="20"/>
                <w:szCs w:val="20"/>
              </w:rPr>
            </w:pPr>
            <w:r w:rsidRPr="00EA09A1">
              <w:rPr>
                <w:rFonts w:eastAsia="Times New Roman"/>
                <w:sz w:val="20"/>
                <w:szCs w:val="20"/>
              </w:rPr>
              <w:t>2019</w:t>
            </w:r>
          </w:p>
        </w:tc>
        <w:tc>
          <w:tcPr>
            <w:tcW w:w="987" w:type="dxa"/>
            <w:tcBorders>
              <w:top w:val="single" w:sz="12" w:space="0" w:color="auto"/>
              <w:left w:val="single" w:sz="12" w:space="0" w:color="auto"/>
              <w:bottom w:val="single" w:sz="18" w:space="0" w:color="auto"/>
              <w:right w:val="single" w:sz="8" w:space="0" w:color="auto"/>
            </w:tcBorders>
            <w:shd w:val="clear" w:color="auto" w:fill="auto"/>
            <w:vAlign w:val="center"/>
          </w:tcPr>
          <w:p w14:paraId="3ECD579B" w14:textId="30E7DAB5" w:rsidR="00243ED1" w:rsidRPr="00EA09A1" w:rsidRDefault="00243ED1"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eastAsia="Times New Roman"/>
                <w:sz w:val="20"/>
                <w:szCs w:val="20"/>
              </w:rPr>
            </w:pPr>
            <w:r w:rsidRPr="00EA09A1">
              <w:rPr>
                <w:rFonts w:eastAsia="Times New Roman"/>
                <w:sz w:val="20"/>
                <w:szCs w:val="20"/>
              </w:rPr>
              <w:t>2018</w:t>
            </w:r>
          </w:p>
        </w:tc>
        <w:tc>
          <w:tcPr>
            <w:tcW w:w="993" w:type="dxa"/>
            <w:tcBorders>
              <w:top w:val="single" w:sz="12" w:space="0" w:color="auto"/>
              <w:left w:val="single" w:sz="8" w:space="0" w:color="auto"/>
              <w:bottom w:val="single" w:sz="18" w:space="0" w:color="auto"/>
              <w:right w:val="single" w:sz="12" w:space="0" w:color="000000"/>
            </w:tcBorders>
            <w:shd w:val="clear" w:color="auto" w:fill="auto"/>
            <w:vAlign w:val="center"/>
          </w:tcPr>
          <w:p w14:paraId="72580509" w14:textId="4FAFA4E8" w:rsidR="00243ED1" w:rsidRPr="00EA09A1" w:rsidRDefault="00243ED1"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eastAsia="Times New Roman"/>
                <w:sz w:val="20"/>
                <w:szCs w:val="20"/>
              </w:rPr>
            </w:pPr>
            <w:r w:rsidRPr="00EA09A1">
              <w:rPr>
                <w:rFonts w:eastAsia="Times New Roman"/>
                <w:sz w:val="20"/>
                <w:szCs w:val="20"/>
              </w:rPr>
              <w:t>2019</w:t>
            </w:r>
          </w:p>
        </w:tc>
      </w:tr>
      <w:tr w:rsidR="00243ED1" w:rsidRPr="00EA09A1" w14:paraId="45233884" w14:textId="592516DB" w:rsidTr="00D0721F">
        <w:tblPrEx>
          <w:tblBorders>
            <w:top w:val="none" w:sz="0" w:space="0" w:color="auto"/>
          </w:tblBorders>
        </w:tblPrEx>
        <w:trPr>
          <w:trHeight w:val="243"/>
          <w:jc w:val="center"/>
        </w:trPr>
        <w:tc>
          <w:tcPr>
            <w:tcW w:w="1155" w:type="dxa"/>
            <w:tcBorders>
              <w:top w:val="single" w:sz="18" w:space="0" w:color="auto"/>
              <w:left w:val="single" w:sz="12" w:space="0" w:color="000000"/>
              <w:bottom w:val="single" w:sz="4" w:space="0" w:color="000000"/>
              <w:right w:val="single" w:sz="18" w:space="0" w:color="000000"/>
            </w:tcBorders>
            <w:shd w:val="clear" w:color="auto" w:fill="auto"/>
            <w:vAlign w:val="center"/>
          </w:tcPr>
          <w:p w14:paraId="7FD7D9D9" w14:textId="276F56DF" w:rsidR="00243ED1" w:rsidRPr="00EA09A1" w:rsidRDefault="00243ED1" w:rsidP="00243ED1">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In-store</w:t>
            </w:r>
          </w:p>
        </w:tc>
        <w:tc>
          <w:tcPr>
            <w:tcW w:w="992" w:type="dxa"/>
            <w:tcBorders>
              <w:top w:val="single" w:sz="18" w:space="0" w:color="auto"/>
              <w:left w:val="single" w:sz="8" w:space="0" w:color="000000"/>
              <w:bottom w:val="single" w:sz="4" w:space="0" w:color="000000"/>
              <w:right w:val="single" w:sz="8" w:space="0" w:color="auto"/>
            </w:tcBorders>
            <w:shd w:val="clear" w:color="auto" w:fill="auto"/>
            <w:vAlign w:val="center"/>
          </w:tcPr>
          <w:p w14:paraId="16CD45A8" w14:textId="3AD37859" w:rsidR="00243ED1" w:rsidRPr="00EA09A1" w:rsidRDefault="00243ED1"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23%</w:t>
            </w:r>
          </w:p>
        </w:tc>
        <w:tc>
          <w:tcPr>
            <w:tcW w:w="1003" w:type="dxa"/>
            <w:tcBorders>
              <w:top w:val="single" w:sz="18" w:space="0" w:color="auto"/>
              <w:left w:val="single" w:sz="8" w:space="0" w:color="auto"/>
              <w:bottom w:val="single" w:sz="4" w:space="0" w:color="000000"/>
              <w:right w:val="single" w:sz="12" w:space="0" w:color="auto"/>
            </w:tcBorders>
            <w:shd w:val="clear" w:color="auto" w:fill="D6E3BC" w:themeFill="accent3" w:themeFillTint="66"/>
            <w:vAlign w:val="center"/>
          </w:tcPr>
          <w:p w14:paraId="6F388471" w14:textId="385D7977" w:rsidR="00243ED1" w:rsidRPr="00EA09A1" w:rsidRDefault="00243ED1"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26.5%</w:t>
            </w:r>
          </w:p>
        </w:tc>
        <w:tc>
          <w:tcPr>
            <w:tcW w:w="982" w:type="dxa"/>
            <w:tcBorders>
              <w:top w:val="single" w:sz="18" w:space="0" w:color="auto"/>
              <w:left w:val="single" w:sz="12" w:space="0" w:color="auto"/>
              <w:bottom w:val="single" w:sz="4" w:space="0" w:color="000000"/>
              <w:right w:val="single" w:sz="8" w:space="0" w:color="auto"/>
            </w:tcBorders>
            <w:shd w:val="clear" w:color="auto" w:fill="auto"/>
            <w:vAlign w:val="center"/>
          </w:tcPr>
          <w:p w14:paraId="5BF60031" w14:textId="0B5C25A4" w:rsidR="00243ED1" w:rsidRPr="00EA09A1" w:rsidRDefault="00243ED1"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25.5%</w:t>
            </w:r>
          </w:p>
        </w:tc>
        <w:tc>
          <w:tcPr>
            <w:tcW w:w="998" w:type="dxa"/>
            <w:tcBorders>
              <w:top w:val="single" w:sz="18" w:space="0" w:color="auto"/>
              <w:left w:val="single" w:sz="8" w:space="0" w:color="auto"/>
              <w:bottom w:val="single" w:sz="4" w:space="0" w:color="000000"/>
              <w:right w:val="single" w:sz="12" w:space="0" w:color="auto"/>
            </w:tcBorders>
            <w:shd w:val="clear" w:color="auto" w:fill="E5B8B7" w:themeFill="accent2" w:themeFillTint="66"/>
            <w:vAlign w:val="center"/>
          </w:tcPr>
          <w:p w14:paraId="43B02D51" w14:textId="6C8FBBF6" w:rsidR="00243ED1" w:rsidRPr="00EA09A1" w:rsidRDefault="00243ED1"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24%</w:t>
            </w:r>
          </w:p>
        </w:tc>
        <w:tc>
          <w:tcPr>
            <w:tcW w:w="987" w:type="dxa"/>
            <w:tcBorders>
              <w:top w:val="single" w:sz="18" w:space="0" w:color="auto"/>
              <w:left w:val="single" w:sz="12" w:space="0" w:color="auto"/>
              <w:bottom w:val="single" w:sz="4" w:space="0" w:color="000000"/>
              <w:right w:val="single" w:sz="8" w:space="0" w:color="auto"/>
            </w:tcBorders>
            <w:shd w:val="clear" w:color="auto" w:fill="auto"/>
            <w:vAlign w:val="center"/>
          </w:tcPr>
          <w:p w14:paraId="0772408E" w14:textId="1099937A" w:rsidR="00243ED1" w:rsidRPr="00EA09A1" w:rsidRDefault="00D0721F"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30%</w:t>
            </w:r>
          </w:p>
        </w:tc>
        <w:tc>
          <w:tcPr>
            <w:tcW w:w="993" w:type="dxa"/>
            <w:tcBorders>
              <w:top w:val="single" w:sz="18" w:space="0" w:color="auto"/>
              <w:left w:val="single" w:sz="8" w:space="0" w:color="auto"/>
              <w:bottom w:val="single" w:sz="4" w:space="0" w:color="000000"/>
              <w:right w:val="single" w:sz="12" w:space="0" w:color="000000"/>
            </w:tcBorders>
            <w:shd w:val="clear" w:color="auto" w:fill="D6E3BC" w:themeFill="accent3" w:themeFillTint="66"/>
            <w:vAlign w:val="center"/>
          </w:tcPr>
          <w:p w14:paraId="7EEAAEF0" w14:textId="2756512D" w:rsidR="00243ED1" w:rsidRPr="00EA09A1" w:rsidRDefault="00D0721F"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34%</w:t>
            </w:r>
          </w:p>
        </w:tc>
      </w:tr>
      <w:tr w:rsidR="00243ED1" w:rsidRPr="00EA09A1" w14:paraId="58CEBBCE" w14:textId="27EAC741" w:rsidTr="00D0721F">
        <w:tblPrEx>
          <w:tblBorders>
            <w:top w:val="none" w:sz="0" w:space="0" w:color="auto"/>
          </w:tblBorders>
        </w:tblPrEx>
        <w:trPr>
          <w:trHeight w:val="243"/>
          <w:jc w:val="center"/>
        </w:trPr>
        <w:tc>
          <w:tcPr>
            <w:tcW w:w="115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22E8A6DA" w14:textId="75646CAB" w:rsidR="00243ED1" w:rsidRPr="00EA09A1" w:rsidRDefault="00243ED1" w:rsidP="00243ED1">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Online</w:t>
            </w:r>
          </w:p>
        </w:tc>
        <w:tc>
          <w:tcPr>
            <w:tcW w:w="992" w:type="dxa"/>
            <w:tcBorders>
              <w:top w:val="single" w:sz="4" w:space="0" w:color="000000"/>
              <w:left w:val="single" w:sz="8" w:space="0" w:color="000000"/>
              <w:bottom w:val="single" w:sz="4" w:space="0" w:color="000000"/>
              <w:right w:val="single" w:sz="8" w:space="0" w:color="auto"/>
            </w:tcBorders>
            <w:shd w:val="clear" w:color="auto" w:fill="auto"/>
            <w:vAlign w:val="center"/>
          </w:tcPr>
          <w:p w14:paraId="5255B8CF" w14:textId="418DF3A7" w:rsidR="00243ED1" w:rsidRPr="00EA09A1" w:rsidRDefault="00243ED1"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27%</w:t>
            </w:r>
          </w:p>
        </w:tc>
        <w:tc>
          <w:tcPr>
            <w:tcW w:w="1003" w:type="dxa"/>
            <w:tcBorders>
              <w:top w:val="single" w:sz="4" w:space="0" w:color="000000"/>
              <w:left w:val="single" w:sz="8" w:space="0" w:color="auto"/>
              <w:bottom w:val="single" w:sz="4" w:space="0" w:color="000000"/>
              <w:right w:val="single" w:sz="12" w:space="0" w:color="auto"/>
            </w:tcBorders>
            <w:shd w:val="clear" w:color="auto" w:fill="auto"/>
            <w:vAlign w:val="center"/>
          </w:tcPr>
          <w:p w14:paraId="76BCF7DE" w14:textId="318E47F8" w:rsidR="00243ED1" w:rsidRPr="00EA09A1" w:rsidRDefault="00243ED1"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27.5%</w:t>
            </w:r>
          </w:p>
        </w:tc>
        <w:tc>
          <w:tcPr>
            <w:tcW w:w="982" w:type="dxa"/>
            <w:tcBorders>
              <w:top w:val="single" w:sz="4" w:space="0" w:color="000000"/>
              <w:left w:val="single" w:sz="12" w:space="0" w:color="auto"/>
              <w:bottom w:val="single" w:sz="4" w:space="0" w:color="000000"/>
              <w:right w:val="single" w:sz="8" w:space="0" w:color="auto"/>
            </w:tcBorders>
            <w:shd w:val="clear" w:color="auto" w:fill="auto"/>
            <w:vAlign w:val="center"/>
          </w:tcPr>
          <w:p w14:paraId="3D9FBF35" w14:textId="2FC7319A" w:rsidR="00243ED1" w:rsidRPr="00EA09A1" w:rsidRDefault="00243ED1"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26.5%</w:t>
            </w:r>
          </w:p>
        </w:tc>
        <w:tc>
          <w:tcPr>
            <w:tcW w:w="998" w:type="dxa"/>
            <w:tcBorders>
              <w:top w:val="single" w:sz="4" w:space="0" w:color="000000"/>
              <w:left w:val="single" w:sz="8" w:space="0" w:color="auto"/>
              <w:bottom w:val="single" w:sz="4" w:space="0" w:color="000000"/>
              <w:right w:val="single" w:sz="12" w:space="0" w:color="auto"/>
            </w:tcBorders>
            <w:shd w:val="clear" w:color="auto" w:fill="auto"/>
            <w:vAlign w:val="center"/>
          </w:tcPr>
          <w:p w14:paraId="0F155EED" w14:textId="545970FC" w:rsidR="00243ED1" w:rsidRPr="00EA09A1" w:rsidRDefault="00243ED1"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26%</w:t>
            </w:r>
          </w:p>
        </w:tc>
        <w:tc>
          <w:tcPr>
            <w:tcW w:w="987" w:type="dxa"/>
            <w:tcBorders>
              <w:top w:val="single" w:sz="4" w:space="0" w:color="000000"/>
              <w:left w:val="single" w:sz="12" w:space="0" w:color="auto"/>
              <w:bottom w:val="single" w:sz="4" w:space="0" w:color="000000"/>
              <w:right w:val="single" w:sz="8" w:space="0" w:color="auto"/>
            </w:tcBorders>
            <w:shd w:val="clear" w:color="auto" w:fill="auto"/>
            <w:vAlign w:val="center"/>
          </w:tcPr>
          <w:p w14:paraId="34771E36" w14:textId="62D3C893" w:rsidR="00243ED1" w:rsidRPr="00EA09A1" w:rsidRDefault="00D0721F"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25%</w:t>
            </w:r>
          </w:p>
        </w:tc>
        <w:tc>
          <w:tcPr>
            <w:tcW w:w="993" w:type="dxa"/>
            <w:tcBorders>
              <w:top w:val="single" w:sz="4" w:space="0" w:color="000000"/>
              <w:left w:val="single" w:sz="8" w:space="0" w:color="auto"/>
              <w:bottom w:val="single" w:sz="4" w:space="0" w:color="000000"/>
              <w:right w:val="single" w:sz="12" w:space="0" w:color="000000"/>
            </w:tcBorders>
            <w:shd w:val="clear" w:color="auto" w:fill="E5B8B7" w:themeFill="accent2" w:themeFillTint="66"/>
            <w:vAlign w:val="center"/>
          </w:tcPr>
          <w:p w14:paraId="74EAE0CA" w14:textId="44B07EA7" w:rsidR="00243ED1" w:rsidRPr="00EA09A1" w:rsidRDefault="00D0721F"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23.5%</w:t>
            </w:r>
          </w:p>
        </w:tc>
      </w:tr>
      <w:tr w:rsidR="00243ED1" w:rsidRPr="00EA09A1" w14:paraId="43EAE9E4" w14:textId="33FCA8DF" w:rsidTr="00D0721F">
        <w:tblPrEx>
          <w:tblBorders>
            <w:top w:val="none" w:sz="0" w:space="0" w:color="auto"/>
          </w:tblBorders>
        </w:tblPrEx>
        <w:trPr>
          <w:trHeight w:val="243"/>
          <w:jc w:val="center"/>
        </w:trPr>
        <w:tc>
          <w:tcPr>
            <w:tcW w:w="1155" w:type="dxa"/>
            <w:tcBorders>
              <w:top w:val="single" w:sz="4" w:space="0" w:color="000000"/>
              <w:left w:val="single" w:sz="12" w:space="0" w:color="000000"/>
              <w:bottom w:val="single" w:sz="12" w:space="0" w:color="000000"/>
              <w:right w:val="single" w:sz="18" w:space="0" w:color="000000"/>
            </w:tcBorders>
            <w:vAlign w:val="center"/>
          </w:tcPr>
          <w:p w14:paraId="733BEAE1" w14:textId="131A1B6D" w:rsidR="00243ED1" w:rsidRPr="00EA09A1" w:rsidRDefault="00243ED1" w:rsidP="00243ED1">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Both</w:t>
            </w:r>
          </w:p>
        </w:tc>
        <w:tc>
          <w:tcPr>
            <w:tcW w:w="992" w:type="dxa"/>
            <w:tcBorders>
              <w:top w:val="single" w:sz="4" w:space="0" w:color="000000"/>
              <w:left w:val="single" w:sz="8" w:space="0" w:color="000000"/>
              <w:bottom w:val="single" w:sz="12" w:space="0" w:color="000000"/>
              <w:right w:val="single" w:sz="8" w:space="0" w:color="auto"/>
            </w:tcBorders>
            <w:vAlign w:val="center"/>
          </w:tcPr>
          <w:p w14:paraId="5CAEAC27" w14:textId="12E35A23" w:rsidR="00243ED1" w:rsidRPr="00EA09A1" w:rsidRDefault="00243ED1"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50%</w:t>
            </w:r>
          </w:p>
        </w:tc>
        <w:tc>
          <w:tcPr>
            <w:tcW w:w="1003" w:type="dxa"/>
            <w:tcBorders>
              <w:top w:val="single" w:sz="4" w:space="0" w:color="000000"/>
              <w:left w:val="single" w:sz="8" w:space="0" w:color="auto"/>
              <w:bottom w:val="single" w:sz="12" w:space="0" w:color="000000"/>
              <w:right w:val="single" w:sz="12" w:space="0" w:color="auto"/>
            </w:tcBorders>
            <w:shd w:val="clear" w:color="auto" w:fill="E5B8B7" w:themeFill="accent2" w:themeFillTint="66"/>
            <w:vAlign w:val="center"/>
          </w:tcPr>
          <w:p w14:paraId="429C9040" w14:textId="05D4B258" w:rsidR="00243ED1" w:rsidRPr="00EA09A1" w:rsidRDefault="00243ED1"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46%</w:t>
            </w:r>
          </w:p>
        </w:tc>
        <w:tc>
          <w:tcPr>
            <w:tcW w:w="982" w:type="dxa"/>
            <w:tcBorders>
              <w:top w:val="single" w:sz="4" w:space="0" w:color="000000"/>
              <w:left w:val="single" w:sz="12" w:space="0" w:color="auto"/>
              <w:bottom w:val="single" w:sz="12" w:space="0" w:color="000000"/>
              <w:right w:val="single" w:sz="8" w:space="0" w:color="auto"/>
            </w:tcBorders>
            <w:shd w:val="clear" w:color="auto" w:fill="auto"/>
            <w:vAlign w:val="center"/>
          </w:tcPr>
          <w:p w14:paraId="340F3C18" w14:textId="64FADFB1" w:rsidR="00243ED1" w:rsidRPr="00EA09A1" w:rsidRDefault="00243ED1"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47.5%</w:t>
            </w:r>
          </w:p>
        </w:tc>
        <w:tc>
          <w:tcPr>
            <w:tcW w:w="998" w:type="dxa"/>
            <w:tcBorders>
              <w:top w:val="single" w:sz="4" w:space="0" w:color="000000"/>
              <w:left w:val="single" w:sz="8" w:space="0" w:color="auto"/>
              <w:bottom w:val="single" w:sz="12" w:space="0" w:color="000000"/>
              <w:right w:val="single" w:sz="12" w:space="0" w:color="auto"/>
            </w:tcBorders>
            <w:shd w:val="clear" w:color="auto" w:fill="D6E3BC" w:themeFill="accent3" w:themeFillTint="66"/>
            <w:vAlign w:val="center"/>
          </w:tcPr>
          <w:p w14:paraId="2BC732C9" w14:textId="653E6183" w:rsidR="00243ED1" w:rsidRPr="00EA09A1" w:rsidRDefault="00D0721F"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50%</w:t>
            </w:r>
          </w:p>
        </w:tc>
        <w:tc>
          <w:tcPr>
            <w:tcW w:w="987" w:type="dxa"/>
            <w:tcBorders>
              <w:top w:val="single" w:sz="4" w:space="0" w:color="000000"/>
              <w:left w:val="single" w:sz="12" w:space="0" w:color="auto"/>
              <w:bottom w:val="single" w:sz="12" w:space="0" w:color="000000"/>
              <w:right w:val="single" w:sz="8" w:space="0" w:color="auto"/>
            </w:tcBorders>
            <w:shd w:val="clear" w:color="auto" w:fill="auto"/>
            <w:vAlign w:val="center"/>
          </w:tcPr>
          <w:p w14:paraId="47813C16" w14:textId="2CE93F11" w:rsidR="00243ED1" w:rsidRPr="00EA09A1" w:rsidRDefault="00D0721F"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45.5%</w:t>
            </w:r>
          </w:p>
        </w:tc>
        <w:tc>
          <w:tcPr>
            <w:tcW w:w="993" w:type="dxa"/>
            <w:tcBorders>
              <w:top w:val="single" w:sz="4" w:space="0" w:color="000000"/>
              <w:left w:val="single" w:sz="8" w:space="0" w:color="auto"/>
              <w:bottom w:val="single" w:sz="12" w:space="0" w:color="000000"/>
              <w:right w:val="single" w:sz="12" w:space="0" w:color="000000"/>
            </w:tcBorders>
            <w:shd w:val="clear" w:color="auto" w:fill="D6E3BC" w:themeFill="accent3" w:themeFillTint="66"/>
            <w:vAlign w:val="center"/>
          </w:tcPr>
          <w:p w14:paraId="7EE751DE" w14:textId="62369A2B" w:rsidR="00243ED1" w:rsidRPr="00EA09A1" w:rsidRDefault="00D0721F" w:rsidP="00243ED1">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48.5%</w:t>
            </w:r>
          </w:p>
        </w:tc>
      </w:tr>
    </w:tbl>
    <w:p w14:paraId="261B97C3" w14:textId="77777777" w:rsidR="00243ED1" w:rsidRPr="00EA09A1" w:rsidRDefault="00243ED1" w:rsidP="00D0721F">
      <w:pPr>
        <w:tabs>
          <w:tab w:val="left" w:pos="1170"/>
        </w:tabs>
        <w:spacing w:after="0" w:line="240" w:lineRule="auto"/>
        <w:contextualSpacing/>
        <w:mirrorIndents/>
        <w:rPr>
          <w:rFonts w:ascii="Verdana" w:hAnsi="Verdana"/>
          <w:sz w:val="20"/>
          <w:szCs w:val="20"/>
        </w:rPr>
      </w:pPr>
      <w:r w:rsidRPr="00EA09A1">
        <w:rPr>
          <w:sz w:val="16"/>
          <w:szCs w:val="16"/>
        </w:rPr>
        <w:tab/>
        <w:t xml:space="preserve">Tinuiti, October 2019 </w:t>
      </w:r>
    </w:p>
    <w:p w14:paraId="547140DF" w14:textId="77777777" w:rsidR="00243ED1" w:rsidRPr="00EA09A1" w:rsidRDefault="00243ED1" w:rsidP="00EA72B7">
      <w:pPr>
        <w:spacing w:after="0" w:line="240" w:lineRule="auto"/>
        <w:contextualSpacing/>
        <w:mirrorIndents/>
        <w:rPr>
          <w:rFonts w:ascii="Verdana" w:hAnsi="Verdana"/>
          <w:sz w:val="20"/>
          <w:szCs w:val="20"/>
        </w:rPr>
      </w:pPr>
    </w:p>
    <w:p w14:paraId="038CE1DF" w14:textId="77777777" w:rsidR="00243ED1" w:rsidRPr="00EA09A1" w:rsidRDefault="00243ED1" w:rsidP="00EA72B7">
      <w:pPr>
        <w:spacing w:after="0" w:line="240" w:lineRule="auto"/>
        <w:contextualSpacing/>
        <w:mirrorIndents/>
        <w:rPr>
          <w:rFonts w:ascii="Verdana" w:hAnsi="Verdana"/>
          <w:sz w:val="20"/>
          <w:szCs w:val="20"/>
        </w:rPr>
      </w:pPr>
    </w:p>
    <w:p w14:paraId="52CE6614" w14:textId="77777777" w:rsidR="00243ED1" w:rsidRPr="00EA09A1" w:rsidRDefault="00243ED1" w:rsidP="00EA72B7">
      <w:pPr>
        <w:spacing w:after="0" w:line="240" w:lineRule="auto"/>
        <w:contextualSpacing/>
        <w:mirrorIndents/>
        <w:rPr>
          <w:rFonts w:ascii="Verdana" w:hAnsi="Verdana"/>
          <w:sz w:val="20"/>
          <w:szCs w:val="20"/>
        </w:rPr>
      </w:pPr>
    </w:p>
    <w:p w14:paraId="4B75B0AF" w14:textId="77777777" w:rsidR="00243ED1" w:rsidRPr="00EA09A1" w:rsidRDefault="00243ED1" w:rsidP="00EA72B7">
      <w:pPr>
        <w:spacing w:after="0" w:line="240" w:lineRule="auto"/>
        <w:contextualSpacing/>
        <w:mirrorIndents/>
        <w:rPr>
          <w:rFonts w:ascii="Verdana" w:hAnsi="Verdana"/>
          <w:sz w:val="20"/>
          <w:szCs w:val="20"/>
        </w:rPr>
      </w:pPr>
    </w:p>
    <w:p w14:paraId="3FDABFD3" w14:textId="45F503AD" w:rsidR="00EA72B7" w:rsidRPr="00EA09A1" w:rsidRDefault="00EA72B7" w:rsidP="00A02FFC">
      <w:pPr>
        <w:spacing w:after="0" w:line="240" w:lineRule="auto"/>
        <w:contextualSpacing/>
        <w:mirrorIndents/>
        <w:jc w:val="center"/>
        <w:rPr>
          <w:rFonts w:ascii="Verdana" w:hAnsi="Verdana"/>
          <w:b/>
          <w:color w:val="0070C0"/>
          <w:sz w:val="20"/>
          <w:szCs w:val="20"/>
        </w:rPr>
      </w:pPr>
      <w:r w:rsidRPr="00EA09A1">
        <w:rPr>
          <w:rFonts w:ascii="Verdana" w:hAnsi="Verdana"/>
          <w:b/>
          <w:color w:val="0070C0"/>
          <w:sz w:val="20"/>
          <w:szCs w:val="20"/>
        </w:rPr>
        <w:lastRenderedPageBreak/>
        <w:t>Challenges and Concerns</w:t>
      </w:r>
    </w:p>
    <w:p w14:paraId="45FDE2E9" w14:textId="77777777" w:rsidR="00EA72B7" w:rsidRPr="00EA09A1" w:rsidRDefault="00EA72B7" w:rsidP="00EA72B7">
      <w:pPr>
        <w:spacing w:after="0" w:line="240" w:lineRule="auto"/>
        <w:contextualSpacing/>
        <w:mirrorIndents/>
        <w:rPr>
          <w:rFonts w:ascii="Verdana" w:hAnsi="Verdana"/>
          <w:sz w:val="20"/>
          <w:szCs w:val="20"/>
        </w:rPr>
      </w:pPr>
    </w:p>
    <w:p w14:paraId="418B6124" w14:textId="2CB60C44" w:rsidR="00903532" w:rsidRPr="00EA09A1" w:rsidRDefault="007147B2" w:rsidP="007147B2">
      <w:pPr>
        <w:pStyle w:val="ListParagraph"/>
        <w:numPr>
          <w:ilvl w:val="0"/>
          <w:numId w:val="6"/>
        </w:numPr>
        <w:spacing w:after="0" w:line="240" w:lineRule="auto"/>
        <w:mirrorIndents/>
        <w:rPr>
          <w:rFonts w:ascii="Verdana" w:hAnsi="Verdana"/>
          <w:sz w:val="20"/>
          <w:szCs w:val="20"/>
        </w:rPr>
      </w:pPr>
      <w:r w:rsidRPr="00EA09A1">
        <w:rPr>
          <w:rFonts w:ascii="Verdana" w:hAnsi="Verdana"/>
          <w:sz w:val="20"/>
          <w:szCs w:val="20"/>
        </w:rPr>
        <w:t xml:space="preserve">The tariffs the </w:t>
      </w:r>
      <w:r w:rsidR="00903532" w:rsidRPr="00EA09A1">
        <w:rPr>
          <w:rFonts w:ascii="Verdana" w:hAnsi="Verdana"/>
          <w:sz w:val="20"/>
          <w:szCs w:val="20"/>
        </w:rPr>
        <w:t>Trump administration has imposed primarily on Chinese goods ha</w:t>
      </w:r>
      <w:r w:rsidR="001A2257" w:rsidRPr="00EA09A1">
        <w:rPr>
          <w:rFonts w:ascii="Verdana" w:hAnsi="Verdana"/>
          <w:sz w:val="20"/>
          <w:szCs w:val="20"/>
        </w:rPr>
        <w:t>ve</w:t>
      </w:r>
      <w:r w:rsidR="00903532" w:rsidRPr="00EA09A1">
        <w:rPr>
          <w:rFonts w:ascii="Verdana" w:hAnsi="Verdana"/>
          <w:sz w:val="20"/>
          <w:szCs w:val="20"/>
        </w:rPr>
        <w:t xml:space="preserve"> been a concern of retailers for some time, but many analysts think the impact on holiday shopping will be minimal. Some are more worried about consumer confidence.</w:t>
      </w:r>
    </w:p>
    <w:p w14:paraId="75C87E8A" w14:textId="77777777" w:rsidR="00903532" w:rsidRPr="00EA09A1" w:rsidRDefault="00903532" w:rsidP="00903532">
      <w:pPr>
        <w:pStyle w:val="ListParagraph"/>
        <w:spacing w:after="0" w:line="240" w:lineRule="auto"/>
        <w:ind w:left="360"/>
        <w:mirrorIndents/>
        <w:rPr>
          <w:rFonts w:ascii="Verdana" w:hAnsi="Verdana"/>
          <w:sz w:val="20"/>
          <w:szCs w:val="20"/>
        </w:rPr>
      </w:pPr>
    </w:p>
    <w:p w14:paraId="3E7D39B2" w14:textId="6EB88C47" w:rsidR="00A02FFC" w:rsidRPr="00EA09A1" w:rsidRDefault="00903532" w:rsidP="007147B2">
      <w:pPr>
        <w:pStyle w:val="ListParagraph"/>
        <w:numPr>
          <w:ilvl w:val="0"/>
          <w:numId w:val="6"/>
        </w:numPr>
        <w:spacing w:after="0" w:line="240" w:lineRule="auto"/>
        <w:mirrorIndents/>
        <w:rPr>
          <w:rFonts w:ascii="Verdana" w:hAnsi="Verdana"/>
          <w:sz w:val="20"/>
          <w:szCs w:val="20"/>
        </w:rPr>
      </w:pPr>
      <w:r w:rsidRPr="00EA09A1">
        <w:rPr>
          <w:rFonts w:ascii="Verdana" w:hAnsi="Verdana"/>
          <w:sz w:val="20"/>
          <w:szCs w:val="20"/>
        </w:rPr>
        <w:t>According to an AlixPartners survey, 20% of the respondents who said they would spend less during the holiday season said price increases of more than 10% from tariffs would result in them spending even less.</w:t>
      </w:r>
    </w:p>
    <w:p w14:paraId="5ECCAC4B" w14:textId="77777777" w:rsidR="00A02FFC" w:rsidRPr="00EA09A1" w:rsidRDefault="00A02FFC" w:rsidP="00EA72B7">
      <w:pPr>
        <w:spacing w:after="0" w:line="240" w:lineRule="auto"/>
        <w:contextualSpacing/>
        <w:mirrorIndents/>
        <w:rPr>
          <w:rFonts w:ascii="Verdana" w:hAnsi="Verdana"/>
          <w:sz w:val="20"/>
          <w:szCs w:val="20"/>
        </w:rPr>
      </w:pPr>
    </w:p>
    <w:p w14:paraId="14ADC8DF" w14:textId="50A8981F" w:rsidR="00903532" w:rsidRPr="00EA09A1" w:rsidRDefault="00903532" w:rsidP="00903532">
      <w:pPr>
        <w:pStyle w:val="ListParagraph"/>
        <w:numPr>
          <w:ilvl w:val="0"/>
          <w:numId w:val="6"/>
        </w:numPr>
        <w:spacing w:after="0" w:line="240" w:lineRule="auto"/>
        <w:mirrorIndents/>
        <w:rPr>
          <w:rFonts w:ascii="Verdana" w:hAnsi="Verdana"/>
          <w:sz w:val="20"/>
          <w:szCs w:val="20"/>
        </w:rPr>
      </w:pPr>
      <w:r w:rsidRPr="00EA09A1">
        <w:rPr>
          <w:rFonts w:ascii="Verdana" w:hAnsi="Verdana"/>
          <w:sz w:val="20"/>
          <w:szCs w:val="20"/>
        </w:rPr>
        <w:t xml:space="preserve">Kantar, a data analytics company, reported retailers spent 6% less for 2018 holiday season advertising, or $3.7 billion, compared to 3.9% billion for 2017. </w:t>
      </w:r>
      <w:r w:rsidR="00201539" w:rsidRPr="00EA09A1">
        <w:rPr>
          <w:rFonts w:ascii="Verdana" w:hAnsi="Verdana"/>
          <w:sz w:val="20"/>
          <w:szCs w:val="20"/>
        </w:rPr>
        <w:t>Although retailers spen</w:t>
      </w:r>
      <w:r w:rsidR="001A2257" w:rsidRPr="00EA09A1">
        <w:rPr>
          <w:rFonts w:ascii="Verdana" w:hAnsi="Verdana"/>
          <w:sz w:val="20"/>
          <w:szCs w:val="20"/>
        </w:rPr>
        <w:t>t</w:t>
      </w:r>
      <w:r w:rsidR="00201539" w:rsidRPr="00EA09A1">
        <w:rPr>
          <w:rFonts w:ascii="Verdana" w:hAnsi="Verdana"/>
          <w:sz w:val="20"/>
          <w:szCs w:val="20"/>
        </w:rPr>
        <w:t xml:space="preserve"> half of their holiday ad dollars on TV, total 2018 spending decreased 3%.</w:t>
      </w:r>
    </w:p>
    <w:p w14:paraId="183CEF3E" w14:textId="77777777" w:rsidR="00903532" w:rsidRPr="00EA09A1" w:rsidRDefault="00903532" w:rsidP="00EA72B7">
      <w:pPr>
        <w:spacing w:after="0" w:line="240" w:lineRule="auto"/>
        <w:contextualSpacing/>
        <w:mirrorIndents/>
        <w:rPr>
          <w:rFonts w:ascii="Verdana" w:hAnsi="Verdana"/>
          <w:sz w:val="20"/>
          <w:szCs w:val="20"/>
        </w:rPr>
      </w:pPr>
    </w:p>
    <w:p w14:paraId="739B75FB" w14:textId="77777777" w:rsidR="00201539" w:rsidRPr="00EA09A1" w:rsidRDefault="00201539" w:rsidP="00201539">
      <w:pPr>
        <w:pStyle w:val="Header"/>
        <w:contextualSpacing/>
        <w:jc w:val="center"/>
        <w:rPr>
          <w:b/>
          <w:sz w:val="20"/>
          <w:szCs w:val="20"/>
        </w:rPr>
      </w:pPr>
      <w:r w:rsidRPr="00EA09A1">
        <w:rPr>
          <w:b/>
          <w:sz w:val="20"/>
          <w:szCs w:val="20"/>
        </w:rPr>
        <w:t xml:space="preserve">Why the Holiday Shopping Season Is Becoming </w:t>
      </w:r>
    </w:p>
    <w:p w14:paraId="63E26056" w14:textId="3A9B51BC" w:rsidR="00201539" w:rsidRPr="00EA09A1" w:rsidRDefault="00201539" w:rsidP="00201539">
      <w:pPr>
        <w:pStyle w:val="Header"/>
        <w:contextualSpacing/>
        <w:jc w:val="center"/>
        <w:rPr>
          <w:b/>
          <w:sz w:val="20"/>
          <w:szCs w:val="20"/>
        </w:rPr>
      </w:pPr>
      <w:r w:rsidRPr="00EA09A1">
        <w:rPr>
          <w:b/>
          <w:sz w:val="20"/>
          <w:szCs w:val="20"/>
        </w:rPr>
        <w:t>Less Important to Retailers, 1998 vs. 2018</w:t>
      </w:r>
    </w:p>
    <w:tbl>
      <w:tblPr>
        <w:tblW w:w="8310"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5940"/>
        <w:gridCol w:w="1185"/>
        <w:gridCol w:w="1185"/>
      </w:tblGrid>
      <w:tr w:rsidR="00201539" w:rsidRPr="00EA09A1" w14:paraId="2D1373A5" w14:textId="77777777" w:rsidTr="001A2257">
        <w:trPr>
          <w:jc w:val="center"/>
        </w:trPr>
        <w:tc>
          <w:tcPr>
            <w:tcW w:w="5940" w:type="dxa"/>
            <w:tcBorders>
              <w:top w:val="single" w:sz="12" w:space="0" w:color="000000"/>
              <w:left w:val="single" w:sz="12" w:space="0" w:color="000000"/>
              <w:bottom w:val="single" w:sz="18" w:space="0" w:color="000000"/>
              <w:right w:val="single" w:sz="18" w:space="0" w:color="000000"/>
            </w:tcBorders>
            <w:vAlign w:val="center"/>
          </w:tcPr>
          <w:p w14:paraId="7E969FA0" w14:textId="5BBF2DF7" w:rsidR="00201539" w:rsidRPr="00EA09A1" w:rsidRDefault="00201539" w:rsidP="001A2257">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Retail Sector</w:t>
            </w:r>
          </w:p>
        </w:tc>
        <w:tc>
          <w:tcPr>
            <w:tcW w:w="1185" w:type="dxa"/>
            <w:tcBorders>
              <w:top w:val="single" w:sz="12" w:space="0" w:color="000000"/>
              <w:left w:val="single" w:sz="8" w:space="0" w:color="000000"/>
              <w:bottom w:val="single" w:sz="18" w:space="0" w:color="000000"/>
              <w:right w:val="single" w:sz="8" w:space="0" w:color="000000"/>
            </w:tcBorders>
            <w:vAlign w:val="center"/>
          </w:tcPr>
          <w:p w14:paraId="37C52B08" w14:textId="7FECCA54" w:rsidR="00201539" w:rsidRPr="00EA09A1" w:rsidRDefault="00201539" w:rsidP="001A2257">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1998*</w:t>
            </w:r>
          </w:p>
        </w:tc>
        <w:tc>
          <w:tcPr>
            <w:tcW w:w="1185" w:type="dxa"/>
            <w:tcBorders>
              <w:top w:val="single" w:sz="12" w:space="0" w:color="000000"/>
              <w:left w:val="single" w:sz="8" w:space="0" w:color="000000"/>
              <w:bottom w:val="single" w:sz="18" w:space="0" w:color="000000"/>
              <w:right w:val="single" w:sz="12" w:space="0" w:color="000000"/>
            </w:tcBorders>
            <w:vAlign w:val="center"/>
          </w:tcPr>
          <w:p w14:paraId="7376BBE7" w14:textId="3A1AF6B2" w:rsidR="00201539" w:rsidRPr="00EA09A1" w:rsidRDefault="00201539" w:rsidP="001A2257">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2018*</w:t>
            </w:r>
          </w:p>
        </w:tc>
      </w:tr>
      <w:tr w:rsidR="00201539" w:rsidRPr="00EA09A1" w14:paraId="4F481A28" w14:textId="77777777" w:rsidTr="001A2257">
        <w:tblPrEx>
          <w:tblBorders>
            <w:top w:val="none" w:sz="0" w:space="0" w:color="auto"/>
          </w:tblBorders>
        </w:tblPrEx>
        <w:trPr>
          <w:trHeight w:val="243"/>
          <w:jc w:val="center"/>
        </w:trPr>
        <w:tc>
          <w:tcPr>
            <w:tcW w:w="5940" w:type="dxa"/>
            <w:tcBorders>
              <w:top w:val="single" w:sz="18" w:space="0" w:color="000000"/>
              <w:left w:val="single" w:sz="12" w:space="0" w:color="000000"/>
              <w:bottom w:val="single" w:sz="4" w:space="0" w:color="000000"/>
              <w:right w:val="single" w:sz="18" w:space="0" w:color="000000"/>
            </w:tcBorders>
            <w:vAlign w:val="center"/>
          </w:tcPr>
          <w:p w14:paraId="5E485BFA" w14:textId="0FD80C1A" w:rsidR="00201539" w:rsidRPr="00EA09A1" w:rsidRDefault="00201539"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Clothing/Accessories</w:t>
            </w:r>
          </w:p>
        </w:tc>
        <w:tc>
          <w:tcPr>
            <w:tcW w:w="1185" w:type="dxa"/>
            <w:tcBorders>
              <w:top w:val="single" w:sz="18" w:space="0" w:color="000000"/>
              <w:left w:val="single" w:sz="8" w:space="0" w:color="000000"/>
              <w:bottom w:val="single" w:sz="4" w:space="0" w:color="000000"/>
              <w:right w:val="single" w:sz="8" w:space="0" w:color="000000"/>
            </w:tcBorders>
            <w:vAlign w:val="center"/>
          </w:tcPr>
          <w:p w14:paraId="73859C79" w14:textId="1036E7D6" w:rsidR="00201539" w:rsidRPr="00EA09A1" w:rsidRDefault="00201539"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24.3%</w:t>
            </w:r>
          </w:p>
        </w:tc>
        <w:tc>
          <w:tcPr>
            <w:tcW w:w="1185" w:type="dxa"/>
            <w:tcBorders>
              <w:top w:val="single" w:sz="18" w:space="0" w:color="000000"/>
              <w:left w:val="single" w:sz="8" w:space="0" w:color="000000"/>
              <w:bottom w:val="single" w:sz="4" w:space="0" w:color="000000"/>
              <w:right w:val="single" w:sz="12" w:space="0" w:color="000000"/>
            </w:tcBorders>
            <w:shd w:val="clear" w:color="auto" w:fill="auto"/>
            <w:vAlign w:val="center"/>
          </w:tcPr>
          <w:p w14:paraId="18FD7A43" w14:textId="188357EE" w:rsidR="00201539" w:rsidRPr="00EA09A1" w:rsidRDefault="00201539"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22.4%</w:t>
            </w:r>
          </w:p>
        </w:tc>
      </w:tr>
      <w:tr w:rsidR="00201539" w:rsidRPr="00EA09A1" w14:paraId="4B570EAA" w14:textId="77777777" w:rsidTr="001A2257">
        <w:tblPrEx>
          <w:tblBorders>
            <w:top w:val="none" w:sz="0" w:space="0" w:color="auto"/>
          </w:tblBorders>
        </w:tblPrEx>
        <w:trPr>
          <w:trHeight w:val="243"/>
          <w:jc w:val="center"/>
        </w:trPr>
        <w:tc>
          <w:tcPr>
            <w:tcW w:w="5940" w:type="dxa"/>
            <w:tcBorders>
              <w:top w:val="single" w:sz="4" w:space="0" w:color="000000"/>
              <w:left w:val="single" w:sz="12" w:space="0" w:color="000000"/>
              <w:bottom w:val="single" w:sz="4" w:space="0" w:color="000000"/>
              <w:right w:val="single" w:sz="18" w:space="0" w:color="000000"/>
            </w:tcBorders>
            <w:vAlign w:val="center"/>
          </w:tcPr>
          <w:p w14:paraId="1C2044C1" w14:textId="599F249E" w:rsidR="00201539" w:rsidRPr="00EA09A1" w:rsidRDefault="00201539"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Department stores</w:t>
            </w:r>
          </w:p>
        </w:tc>
        <w:tc>
          <w:tcPr>
            <w:tcW w:w="1185" w:type="dxa"/>
            <w:tcBorders>
              <w:top w:val="single" w:sz="4" w:space="0" w:color="000000"/>
              <w:left w:val="single" w:sz="8" w:space="0" w:color="000000"/>
              <w:bottom w:val="single" w:sz="4" w:space="0" w:color="000000"/>
              <w:right w:val="single" w:sz="8" w:space="0" w:color="000000"/>
            </w:tcBorders>
            <w:vAlign w:val="center"/>
          </w:tcPr>
          <w:p w14:paraId="4C7CBAF1" w14:textId="3A89B6A9" w:rsidR="00201539" w:rsidRPr="00EA09A1" w:rsidRDefault="00201539"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24.6%</w:t>
            </w:r>
          </w:p>
        </w:tc>
        <w:tc>
          <w:tcPr>
            <w:tcW w:w="1185"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1CFA59E3" w14:textId="2BA74327" w:rsidR="00201539" w:rsidRPr="00EA09A1" w:rsidRDefault="00201539"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23.8%</w:t>
            </w:r>
          </w:p>
        </w:tc>
      </w:tr>
      <w:tr w:rsidR="00201539" w:rsidRPr="00EA09A1" w14:paraId="137AF8F9" w14:textId="77777777" w:rsidTr="001A2257">
        <w:tblPrEx>
          <w:tblBorders>
            <w:top w:val="none" w:sz="0" w:space="0" w:color="auto"/>
          </w:tblBorders>
        </w:tblPrEx>
        <w:trPr>
          <w:trHeight w:val="243"/>
          <w:jc w:val="center"/>
        </w:trPr>
        <w:tc>
          <w:tcPr>
            <w:tcW w:w="5940"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65DA683F" w14:textId="3ED52CBE" w:rsidR="00201539" w:rsidRPr="00EA09A1" w:rsidRDefault="00201539"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Electronics/Appliances</w:t>
            </w:r>
          </w:p>
        </w:tc>
        <w:tc>
          <w:tcPr>
            <w:tcW w:w="1185" w:type="dxa"/>
            <w:tcBorders>
              <w:top w:val="single" w:sz="4" w:space="0" w:color="000000"/>
              <w:left w:val="single" w:sz="8" w:space="0" w:color="000000"/>
              <w:bottom w:val="single" w:sz="4" w:space="0" w:color="000000"/>
              <w:right w:val="single" w:sz="8" w:space="0" w:color="000000"/>
            </w:tcBorders>
            <w:vAlign w:val="center"/>
          </w:tcPr>
          <w:p w14:paraId="27AA8BB4" w14:textId="67B9664A" w:rsidR="00201539" w:rsidRPr="00EA09A1" w:rsidRDefault="00201539"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22.6%</w:t>
            </w:r>
          </w:p>
        </w:tc>
        <w:tc>
          <w:tcPr>
            <w:tcW w:w="1185"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06DE2696" w14:textId="234BA85A" w:rsidR="00201539" w:rsidRPr="00EA09A1" w:rsidRDefault="00201539"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22.1%</w:t>
            </w:r>
          </w:p>
        </w:tc>
      </w:tr>
      <w:tr w:rsidR="00201539" w:rsidRPr="00EA09A1" w14:paraId="15E95F69" w14:textId="77777777" w:rsidTr="001A2257">
        <w:tblPrEx>
          <w:tblBorders>
            <w:top w:val="none" w:sz="0" w:space="0" w:color="auto"/>
          </w:tblBorders>
        </w:tblPrEx>
        <w:trPr>
          <w:trHeight w:val="243"/>
          <w:jc w:val="center"/>
        </w:trPr>
        <w:tc>
          <w:tcPr>
            <w:tcW w:w="5940"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6FAE2FF0" w14:textId="23CC2E25" w:rsidR="00201539" w:rsidRPr="00EA09A1" w:rsidRDefault="00201539"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General merchandise</w:t>
            </w:r>
          </w:p>
        </w:tc>
        <w:tc>
          <w:tcPr>
            <w:tcW w:w="1185" w:type="dxa"/>
            <w:tcBorders>
              <w:top w:val="single" w:sz="4" w:space="0" w:color="000000"/>
              <w:left w:val="single" w:sz="8" w:space="0" w:color="000000"/>
              <w:bottom w:val="single" w:sz="4" w:space="0" w:color="000000"/>
              <w:right w:val="single" w:sz="8" w:space="0" w:color="000000"/>
            </w:tcBorders>
            <w:vAlign w:val="center"/>
          </w:tcPr>
          <w:p w14:paraId="218E33D4" w14:textId="3548AD1E" w:rsidR="00201539" w:rsidRPr="00EA09A1" w:rsidRDefault="00201539"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23.5%</w:t>
            </w:r>
          </w:p>
        </w:tc>
        <w:tc>
          <w:tcPr>
            <w:tcW w:w="1185"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0871EEF8" w14:textId="3F887B2E" w:rsidR="00201539" w:rsidRPr="00EA09A1" w:rsidRDefault="00201539"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20.4%</w:t>
            </w:r>
          </w:p>
        </w:tc>
      </w:tr>
      <w:tr w:rsidR="00201539" w:rsidRPr="00EA09A1" w14:paraId="4F756D7D" w14:textId="77777777" w:rsidTr="001A2257">
        <w:tblPrEx>
          <w:tblBorders>
            <w:top w:val="none" w:sz="0" w:space="0" w:color="auto"/>
          </w:tblBorders>
        </w:tblPrEx>
        <w:trPr>
          <w:trHeight w:val="243"/>
          <w:jc w:val="center"/>
        </w:trPr>
        <w:tc>
          <w:tcPr>
            <w:tcW w:w="5940" w:type="dxa"/>
            <w:tcBorders>
              <w:top w:val="single" w:sz="4" w:space="0" w:color="000000"/>
              <w:left w:val="single" w:sz="12" w:space="0" w:color="000000"/>
              <w:bottom w:val="single" w:sz="4" w:space="0" w:color="000000"/>
              <w:right w:val="single" w:sz="18" w:space="0" w:color="000000"/>
            </w:tcBorders>
            <w:vAlign w:val="center"/>
          </w:tcPr>
          <w:p w14:paraId="34FE0547" w14:textId="47C200F3" w:rsidR="00201539" w:rsidRPr="00EA09A1" w:rsidRDefault="00201539"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Jewelry</w:t>
            </w:r>
          </w:p>
        </w:tc>
        <w:tc>
          <w:tcPr>
            <w:tcW w:w="1185" w:type="dxa"/>
            <w:tcBorders>
              <w:top w:val="single" w:sz="4" w:space="0" w:color="000000"/>
              <w:left w:val="single" w:sz="8" w:space="0" w:color="000000"/>
              <w:bottom w:val="single" w:sz="4" w:space="0" w:color="000000"/>
              <w:right w:val="single" w:sz="8" w:space="0" w:color="000000"/>
            </w:tcBorders>
            <w:shd w:val="clear" w:color="auto" w:fill="E5B8B7" w:themeFill="accent2" w:themeFillTint="66"/>
            <w:vAlign w:val="center"/>
          </w:tcPr>
          <w:p w14:paraId="7658AB73" w14:textId="2EC9C11C" w:rsidR="00201539" w:rsidRPr="00EA09A1" w:rsidRDefault="00201539"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33.4%</w:t>
            </w:r>
          </w:p>
        </w:tc>
        <w:tc>
          <w:tcPr>
            <w:tcW w:w="1185" w:type="dxa"/>
            <w:tcBorders>
              <w:top w:val="single" w:sz="4" w:space="0" w:color="000000"/>
              <w:left w:val="single" w:sz="8" w:space="0" w:color="000000"/>
              <w:bottom w:val="single" w:sz="4" w:space="0" w:color="000000"/>
              <w:right w:val="single" w:sz="12" w:space="0" w:color="000000"/>
            </w:tcBorders>
            <w:shd w:val="clear" w:color="auto" w:fill="E5B8B7" w:themeFill="accent2" w:themeFillTint="66"/>
            <w:vAlign w:val="center"/>
          </w:tcPr>
          <w:p w14:paraId="101D4F3C" w14:textId="1495B8DE" w:rsidR="00201539" w:rsidRPr="00EA09A1" w:rsidRDefault="00201539"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26.7%</w:t>
            </w:r>
          </w:p>
        </w:tc>
      </w:tr>
      <w:tr w:rsidR="00201539" w:rsidRPr="00EA09A1" w14:paraId="034B52C9" w14:textId="77777777" w:rsidTr="001A2257">
        <w:tblPrEx>
          <w:tblBorders>
            <w:top w:val="none" w:sz="0" w:space="0" w:color="auto"/>
          </w:tblBorders>
        </w:tblPrEx>
        <w:trPr>
          <w:trHeight w:val="243"/>
          <w:jc w:val="center"/>
        </w:trPr>
        <w:tc>
          <w:tcPr>
            <w:tcW w:w="5940" w:type="dxa"/>
            <w:tcBorders>
              <w:top w:val="single" w:sz="4" w:space="0" w:color="000000"/>
              <w:left w:val="single" w:sz="12" w:space="0" w:color="000000"/>
              <w:bottom w:val="single" w:sz="12" w:space="0" w:color="000000"/>
              <w:right w:val="single" w:sz="18" w:space="0" w:color="000000"/>
            </w:tcBorders>
            <w:vAlign w:val="center"/>
          </w:tcPr>
          <w:p w14:paraId="7D76ECEB" w14:textId="351F59F1" w:rsidR="00201539" w:rsidRPr="00EA09A1" w:rsidRDefault="00201539"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Sporting goods, hobbies, musical instruments and books</w:t>
            </w:r>
          </w:p>
        </w:tc>
        <w:tc>
          <w:tcPr>
            <w:tcW w:w="1185" w:type="dxa"/>
            <w:tcBorders>
              <w:top w:val="single" w:sz="4" w:space="0" w:color="000000"/>
              <w:left w:val="single" w:sz="8" w:space="0" w:color="000000"/>
              <w:bottom w:val="single" w:sz="12" w:space="0" w:color="000000"/>
              <w:right w:val="single" w:sz="8" w:space="0" w:color="000000"/>
            </w:tcBorders>
            <w:shd w:val="clear" w:color="auto" w:fill="E5B8B7" w:themeFill="accent2" w:themeFillTint="66"/>
            <w:vAlign w:val="center"/>
          </w:tcPr>
          <w:p w14:paraId="566BE82F" w14:textId="1434AB06" w:rsidR="00201539" w:rsidRPr="00EA09A1" w:rsidRDefault="00201539"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24.3%</w:t>
            </w:r>
          </w:p>
        </w:tc>
        <w:tc>
          <w:tcPr>
            <w:tcW w:w="1185" w:type="dxa"/>
            <w:tcBorders>
              <w:top w:val="single" w:sz="4" w:space="0" w:color="000000"/>
              <w:left w:val="single" w:sz="8" w:space="0" w:color="000000"/>
              <w:bottom w:val="single" w:sz="12" w:space="0" w:color="000000"/>
              <w:right w:val="single" w:sz="12" w:space="0" w:color="000000"/>
            </w:tcBorders>
            <w:shd w:val="clear" w:color="auto" w:fill="E5B8B7" w:themeFill="accent2" w:themeFillTint="66"/>
            <w:vAlign w:val="center"/>
          </w:tcPr>
          <w:p w14:paraId="04B733D0" w14:textId="6DB43271" w:rsidR="00201539" w:rsidRPr="00EA09A1" w:rsidRDefault="00201539"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20.4%</w:t>
            </w:r>
          </w:p>
        </w:tc>
      </w:tr>
    </w:tbl>
    <w:p w14:paraId="66F63331" w14:textId="1513B50C" w:rsidR="00201539" w:rsidRPr="00EA09A1" w:rsidRDefault="00201539" w:rsidP="00201539">
      <w:pPr>
        <w:tabs>
          <w:tab w:val="left" w:pos="540"/>
        </w:tabs>
        <w:spacing w:after="0" w:line="240" w:lineRule="auto"/>
        <w:contextualSpacing/>
        <w:mirrorIndents/>
        <w:rPr>
          <w:rFonts w:ascii="Verdana" w:hAnsi="Verdana"/>
          <w:sz w:val="20"/>
          <w:szCs w:val="20"/>
        </w:rPr>
      </w:pPr>
      <w:r w:rsidRPr="00EA09A1">
        <w:rPr>
          <w:sz w:val="16"/>
          <w:szCs w:val="16"/>
        </w:rPr>
        <w:tab/>
        <w:t xml:space="preserve">CNBC (Coresight Research), October 2019 </w:t>
      </w:r>
      <w:r w:rsidR="0075611D" w:rsidRPr="00EA09A1">
        <w:rPr>
          <w:sz w:val="16"/>
          <w:szCs w:val="16"/>
        </w:rPr>
        <w:tab/>
      </w:r>
      <w:r w:rsidR="0075611D" w:rsidRPr="00EA09A1">
        <w:rPr>
          <w:sz w:val="16"/>
          <w:szCs w:val="16"/>
        </w:rPr>
        <w:tab/>
        <w:t>*holiday sales as a share of total annual sales</w:t>
      </w:r>
    </w:p>
    <w:p w14:paraId="0E52F8C8" w14:textId="77777777" w:rsidR="00903532" w:rsidRPr="00EA09A1" w:rsidRDefault="00903532" w:rsidP="00EA72B7">
      <w:pPr>
        <w:spacing w:after="0" w:line="240" w:lineRule="auto"/>
        <w:contextualSpacing/>
        <w:mirrorIndents/>
        <w:rPr>
          <w:rFonts w:ascii="Verdana" w:hAnsi="Verdana"/>
          <w:sz w:val="20"/>
          <w:szCs w:val="20"/>
        </w:rPr>
      </w:pPr>
    </w:p>
    <w:p w14:paraId="37F6D5A5" w14:textId="4CBFA203" w:rsidR="00EA72B7" w:rsidRPr="00EA09A1" w:rsidRDefault="00EA72B7" w:rsidP="00AA27FF">
      <w:pPr>
        <w:spacing w:after="0" w:line="240" w:lineRule="auto"/>
        <w:contextualSpacing/>
        <w:mirrorIndents/>
        <w:jc w:val="center"/>
        <w:rPr>
          <w:rFonts w:ascii="Verdana" w:hAnsi="Verdana"/>
          <w:b/>
          <w:color w:val="0070C0"/>
          <w:sz w:val="20"/>
          <w:szCs w:val="20"/>
        </w:rPr>
      </w:pPr>
      <w:r w:rsidRPr="00EA09A1">
        <w:rPr>
          <w:rFonts w:ascii="Verdana" w:hAnsi="Verdana"/>
          <w:b/>
          <w:color w:val="0070C0"/>
          <w:sz w:val="20"/>
          <w:szCs w:val="20"/>
        </w:rPr>
        <w:t>New Traditions</w:t>
      </w:r>
    </w:p>
    <w:p w14:paraId="7881425A" w14:textId="77777777" w:rsidR="00F94CE8" w:rsidRPr="00EA09A1" w:rsidRDefault="00F94CE8" w:rsidP="00EA72B7">
      <w:pPr>
        <w:pStyle w:val="NoSpacing"/>
        <w:contextualSpacing/>
        <w:mirrorIndents/>
        <w:rPr>
          <w:rFonts w:ascii="Verdana" w:hAnsi="Verdana"/>
          <w:sz w:val="20"/>
          <w:szCs w:val="20"/>
        </w:rPr>
      </w:pPr>
    </w:p>
    <w:p w14:paraId="11DB62D2" w14:textId="4EA9D338" w:rsidR="00F94CE8" w:rsidRPr="00EA09A1" w:rsidRDefault="00AA27FF" w:rsidP="00AA27FF">
      <w:pPr>
        <w:pStyle w:val="NoSpacing"/>
        <w:numPr>
          <w:ilvl w:val="0"/>
          <w:numId w:val="7"/>
        </w:numPr>
        <w:contextualSpacing/>
        <w:mirrorIndents/>
        <w:rPr>
          <w:rFonts w:ascii="Verdana" w:hAnsi="Verdana"/>
          <w:sz w:val="20"/>
          <w:szCs w:val="20"/>
        </w:rPr>
      </w:pPr>
      <w:r w:rsidRPr="00EA09A1">
        <w:rPr>
          <w:rFonts w:ascii="Verdana" w:hAnsi="Verdana"/>
          <w:sz w:val="20"/>
          <w:szCs w:val="20"/>
        </w:rPr>
        <w:t>Sustainability has become an important aspect of retail commerce for consumers and an Accenture survey found 50% would rather not use wrapping paper for gifts and almost 67% said they would have no problem with receiving unwrapped gifts.</w:t>
      </w:r>
    </w:p>
    <w:p w14:paraId="5AF940E3" w14:textId="273B2A4B" w:rsidR="00AA27FF" w:rsidRPr="00EA09A1" w:rsidRDefault="00AA27FF" w:rsidP="00AA27FF">
      <w:pPr>
        <w:pStyle w:val="NoSpacing"/>
        <w:contextualSpacing/>
        <w:mirrorIndents/>
        <w:rPr>
          <w:rFonts w:ascii="Verdana" w:hAnsi="Verdana"/>
          <w:sz w:val="20"/>
          <w:szCs w:val="20"/>
        </w:rPr>
      </w:pPr>
    </w:p>
    <w:p w14:paraId="23D25351" w14:textId="23CED452" w:rsidR="00AA27FF" w:rsidRPr="00EA09A1" w:rsidRDefault="0075611D" w:rsidP="00AA27FF">
      <w:pPr>
        <w:pStyle w:val="NoSpacing"/>
        <w:numPr>
          <w:ilvl w:val="0"/>
          <w:numId w:val="7"/>
        </w:numPr>
        <w:contextualSpacing/>
        <w:mirrorIndents/>
        <w:rPr>
          <w:rFonts w:ascii="Verdana" w:hAnsi="Verdana"/>
          <w:sz w:val="20"/>
          <w:szCs w:val="20"/>
        </w:rPr>
      </w:pPr>
      <w:r w:rsidRPr="00EA09A1">
        <w:rPr>
          <w:rFonts w:ascii="Verdana" w:hAnsi="Verdana"/>
          <w:sz w:val="20"/>
          <w:szCs w:val="20"/>
        </w:rPr>
        <w:t>In the same survey, 50% of respondents said they would be acceptable to a slower shipping process to help reduce the negative environmental impact of the current faster shipping</w:t>
      </w:r>
      <w:r w:rsidR="008D459C">
        <w:rPr>
          <w:rFonts w:ascii="Verdana" w:hAnsi="Verdana"/>
          <w:sz w:val="20"/>
          <w:szCs w:val="20"/>
        </w:rPr>
        <w:t>, which</w:t>
      </w:r>
      <w:r w:rsidRPr="00EA09A1">
        <w:rPr>
          <w:rFonts w:ascii="Verdana" w:hAnsi="Verdana"/>
          <w:sz w:val="20"/>
          <w:szCs w:val="20"/>
        </w:rPr>
        <w:t xml:space="preserve"> so many retailers, especially online, tout as a benefit.</w:t>
      </w:r>
    </w:p>
    <w:p w14:paraId="51EEF538" w14:textId="77777777" w:rsidR="0075611D" w:rsidRPr="00EA09A1" w:rsidRDefault="0075611D" w:rsidP="0075611D">
      <w:pPr>
        <w:pStyle w:val="NoSpacing"/>
        <w:ind w:left="360"/>
        <w:contextualSpacing/>
        <w:mirrorIndents/>
        <w:rPr>
          <w:rFonts w:ascii="Verdana" w:hAnsi="Verdana"/>
          <w:sz w:val="20"/>
          <w:szCs w:val="20"/>
        </w:rPr>
      </w:pPr>
    </w:p>
    <w:p w14:paraId="7E392067" w14:textId="5C027E32" w:rsidR="0075611D" w:rsidRPr="00EA09A1" w:rsidRDefault="0075611D" w:rsidP="00AA27FF">
      <w:pPr>
        <w:pStyle w:val="NoSpacing"/>
        <w:numPr>
          <w:ilvl w:val="0"/>
          <w:numId w:val="7"/>
        </w:numPr>
        <w:contextualSpacing/>
        <w:mirrorIndents/>
        <w:rPr>
          <w:rFonts w:ascii="Verdana" w:hAnsi="Verdana"/>
          <w:sz w:val="20"/>
          <w:szCs w:val="20"/>
        </w:rPr>
      </w:pPr>
      <w:r w:rsidRPr="00EA09A1">
        <w:rPr>
          <w:rFonts w:ascii="Verdana" w:hAnsi="Verdana"/>
          <w:sz w:val="20"/>
          <w:szCs w:val="20"/>
        </w:rPr>
        <w:t>Deloitte’s annual holiday study revealed more consumers are attracted to Cyber Monday (53%) than Black Friday (44%) discounts, with Gen Zers the largest percentage</w:t>
      </w:r>
      <w:r w:rsidR="008D459C">
        <w:rPr>
          <w:rFonts w:ascii="Verdana" w:hAnsi="Verdana"/>
          <w:sz w:val="20"/>
          <w:szCs w:val="20"/>
        </w:rPr>
        <w:t>,</w:t>
      </w:r>
      <w:r w:rsidRPr="00EA09A1">
        <w:rPr>
          <w:rFonts w:ascii="Verdana" w:hAnsi="Verdana"/>
          <w:sz w:val="20"/>
          <w:szCs w:val="20"/>
        </w:rPr>
        <w:t xml:space="preserve"> at 65%, and then Millennials, 61%; Gen Xers, 49%; and Baby Boomers, 47%.</w:t>
      </w:r>
    </w:p>
    <w:p w14:paraId="286AC9F6" w14:textId="77777777" w:rsidR="00F94CE8" w:rsidRPr="00EA09A1" w:rsidRDefault="00F94CE8" w:rsidP="00EA72B7">
      <w:pPr>
        <w:pStyle w:val="NoSpacing"/>
        <w:contextualSpacing/>
        <w:mirrorIndents/>
        <w:rPr>
          <w:rFonts w:ascii="Verdana" w:hAnsi="Verdana"/>
          <w:sz w:val="20"/>
          <w:szCs w:val="20"/>
        </w:rPr>
      </w:pPr>
    </w:p>
    <w:p w14:paraId="6A4063B8" w14:textId="77777777" w:rsidR="001D1A9D" w:rsidRPr="00EA09A1" w:rsidRDefault="0075611D" w:rsidP="0075611D">
      <w:pPr>
        <w:pStyle w:val="Header"/>
        <w:contextualSpacing/>
        <w:jc w:val="center"/>
        <w:rPr>
          <w:b/>
          <w:sz w:val="20"/>
          <w:szCs w:val="20"/>
        </w:rPr>
      </w:pPr>
      <w:r w:rsidRPr="00EA09A1">
        <w:rPr>
          <w:b/>
          <w:sz w:val="20"/>
          <w:szCs w:val="20"/>
        </w:rPr>
        <w:t>Likelihood of Consumers Making an Impulse Purchase</w:t>
      </w:r>
      <w:r w:rsidR="001D1A9D" w:rsidRPr="00EA09A1">
        <w:rPr>
          <w:b/>
          <w:sz w:val="20"/>
          <w:szCs w:val="20"/>
        </w:rPr>
        <w:t xml:space="preserve"> During the</w:t>
      </w:r>
      <w:r w:rsidRPr="00EA09A1">
        <w:rPr>
          <w:b/>
          <w:sz w:val="20"/>
          <w:szCs w:val="20"/>
        </w:rPr>
        <w:t xml:space="preserve"> </w:t>
      </w:r>
    </w:p>
    <w:p w14:paraId="4C89039C" w14:textId="5952DFC6" w:rsidR="0075611D" w:rsidRPr="00EA09A1" w:rsidRDefault="0075611D" w:rsidP="0075611D">
      <w:pPr>
        <w:pStyle w:val="Header"/>
        <w:contextualSpacing/>
        <w:jc w:val="center"/>
        <w:rPr>
          <w:b/>
          <w:sz w:val="20"/>
          <w:szCs w:val="20"/>
        </w:rPr>
      </w:pPr>
      <w:r w:rsidRPr="00EA09A1">
        <w:rPr>
          <w:b/>
          <w:sz w:val="20"/>
          <w:szCs w:val="20"/>
        </w:rPr>
        <w:t>2019 Holiday Shopping, by Age</w:t>
      </w:r>
      <w:r w:rsidR="001D1A9D" w:rsidRPr="00EA09A1">
        <w:rPr>
          <w:b/>
          <w:sz w:val="20"/>
          <w:szCs w:val="20"/>
        </w:rPr>
        <w:t xml:space="preserve"> Group</w:t>
      </w:r>
      <w:r w:rsidRPr="00EA09A1">
        <w:rPr>
          <w:b/>
          <w:sz w:val="20"/>
          <w:szCs w:val="20"/>
        </w:rPr>
        <w:t>, October 2019</w:t>
      </w:r>
    </w:p>
    <w:tbl>
      <w:tblPr>
        <w:tblW w:w="859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875"/>
        <w:gridCol w:w="1120"/>
        <w:gridCol w:w="1120"/>
        <w:gridCol w:w="1120"/>
        <w:gridCol w:w="1120"/>
        <w:gridCol w:w="1120"/>
        <w:gridCol w:w="1120"/>
      </w:tblGrid>
      <w:tr w:rsidR="001D1A9D" w:rsidRPr="00EA09A1" w14:paraId="120A4ED7" w14:textId="77777777" w:rsidTr="001A2257">
        <w:trPr>
          <w:jc w:val="center"/>
        </w:trPr>
        <w:tc>
          <w:tcPr>
            <w:tcW w:w="1875" w:type="dxa"/>
            <w:tcBorders>
              <w:top w:val="single" w:sz="12" w:space="0" w:color="000000"/>
              <w:left w:val="single" w:sz="12" w:space="0" w:color="000000"/>
              <w:bottom w:val="single" w:sz="18" w:space="0" w:color="000000"/>
              <w:right w:val="single" w:sz="18" w:space="0" w:color="000000"/>
            </w:tcBorders>
            <w:vAlign w:val="center"/>
          </w:tcPr>
          <w:p w14:paraId="3F5C5568" w14:textId="7D221E02" w:rsidR="001D1A9D" w:rsidRPr="00EA09A1" w:rsidRDefault="001D1A9D" w:rsidP="001A2257">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Intention</w:t>
            </w:r>
          </w:p>
        </w:tc>
        <w:tc>
          <w:tcPr>
            <w:tcW w:w="1120" w:type="dxa"/>
            <w:tcBorders>
              <w:top w:val="single" w:sz="12" w:space="0" w:color="000000"/>
              <w:left w:val="single" w:sz="8" w:space="0" w:color="000000"/>
              <w:bottom w:val="single" w:sz="18" w:space="0" w:color="000000"/>
              <w:right w:val="single" w:sz="8" w:space="0" w:color="000000"/>
            </w:tcBorders>
            <w:vAlign w:val="center"/>
          </w:tcPr>
          <w:p w14:paraId="54455989" w14:textId="6B8176CD" w:rsidR="001D1A9D" w:rsidRPr="00EA09A1" w:rsidRDefault="001D1A9D" w:rsidP="001A2257">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18</w:t>
            </w:r>
            <w:r w:rsidRPr="00EA09A1">
              <w:rPr>
                <w:rFonts w:ascii="Verdana" w:eastAsia="Times New Roman" w:hAnsi="Verdana"/>
                <w:sz w:val="20"/>
                <w:szCs w:val="20"/>
              </w:rPr>
              <w:t>–</w:t>
            </w:r>
            <w:r w:rsidRPr="00EA09A1">
              <w:rPr>
                <w:rFonts w:eastAsia="Times New Roman"/>
                <w:sz w:val="20"/>
                <w:szCs w:val="20"/>
              </w:rPr>
              <w:t>24</w:t>
            </w:r>
          </w:p>
        </w:tc>
        <w:tc>
          <w:tcPr>
            <w:tcW w:w="1120" w:type="dxa"/>
            <w:tcBorders>
              <w:top w:val="single" w:sz="12" w:space="0" w:color="000000"/>
              <w:left w:val="single" w:sz="8" w:space="0" w:color="000000"/>
              <w:bottom w:val="single" w:sz="18" w:space="0" w:color="000000"/>
              <w:right w:val="single" w:sz="8" w:space="0" w:color="000000"/>
            </w:tcBorders>
            <w:vAlign w:val="center"/>
          </w:tcPr>
          <w:p w14:paraId="1B7501D2" w14:textId="1F210B00" w:rsidR="001D1A9D" w:rsidRPr="00EA09A1" w:rsidRDefault="001D1A9D" w:rsidP="001A2257">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25</w:t>
            </w:r>
            <w:r w:rsidRPr="00EA09A1">
              <w:rPr>
                <w:rFonts w:ascii="Verdana" w:eastAsia="Times New Roman" w:hAnsi="Verdana"/>
                <w:sz w:val="20"/>
                <w:szCs w:val="20"/>
              </w:rPr>
              <w:t>–</w:t>
            </w:r>
            <w:r w:rsidRPr="00EA09A1">
              <w:rPr>
                <w:rFonts w:eastAsia="Times New Roman"/>
                <w:sz w:val="20"/>
                <w:szCs w:val="20"/>
              </w:rPr>
              <w:t>34</w:t>
            </w:r>
          </w:p>
        </w:tc>
        <w:tc>
          <w:tcPr>
            <w:tcW w:w="1120" w:type="dxa"/>
            <w:tcBorders>
              <w:top w:val="single" w:sz="12" w:space="0" w:color="000000"/>
              <w:left w:val="single" w:sz="8" w:space="0" w:color="000000"/>
              <w:bottom w:val="single" w:sz="18" w:space="0" w:color="000000"/>
              <w:right w:val="single" w:sz="8" w:space="0" w:color="000000"/>
            </w:tcBorders>
            <w:vAlign w:val="center"/>
          </w:tcPr>
          <w:p w14:paraId="28D47750" w14:textId="3B137A4A" w:rsidR="001D1A9D" w:rsidRPr="00EA09A1" w:rsidRDefault="001D1A9D" w:rsidP="001A2257">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35</w:t>
            </w:r>
            <w:r w:rsidRPr="00EA09A1">
              <w:rPr>
                <w:rFonts w:ascii="Verdana" w:eastAsia="Times New Roman" w:hAnsi="Verdana"/>
                <w:sz w:val="20"/>
                <w:szCs w:val="20"/>
              </w:rPr>
              <w:t>–</w:t>
            </w:r>
            <w:r w:rsidRPr="00EA09A1">
              <w:rPr>
                <w:rFonts w:eastAsia="Times New Roman"/>
                <w:sz w:val="20"/>
                <w:szCs w:val="20"/>
              </w:rPr>
              <w:t>44</w:t>
            </w:r>
          </w:p>
        </w:tc>
        <w:tc>
          <w:tcPr>
            <w:tcW w:w="1120" w:type="dxa"/>
            <w:tcBorders>
              <w:top w:val="single" w:sz="12" w:space="0" w:color="000000"/>
              <w:left w:val="single" w:sz="8" w:space="0" w:color="000000"/>
              <w:bottom w:val="single" w:sz="18" w:space="0" w:color="000000"/>
              <w:right w:val="single" w:sz="8" w:space="0" w:color="000000"/>
            </w:tcBorders>
            <w:vAlign w:val="center"/>
          </w:tcPr>
          <w:p w14:paraId="5E1A7FCD" w14:textId="6D763923" w:rsidR="001D1A9D" w:rsidRPr="00EA09A1" w:rsidRDefault="001D1A9D" w:rsidP="001A2257">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45</w:t>
            </w:r>
            <w:r w:rsidRPr="00EA09A1">
              <w:rPr>
                <w:rFonts w:ascii="Verdana" w:eastAsia="Times New Roman" w:hAnsi="Verdana"/>
                <w:sz w:val="20"/>
                <w:szCs w:val="20"/>
              </w:rPr>
              <w:t>–</w:t>
            </w:r>
            <w:r w:rsidRPr="00EA09A1">
              <w:rPr>
                <w:rFonts w:eastAsia="Times New Roman"/>
                <w:sz w:val="20"/>
                <w:szCs w:val="20"/>
              </w:rPr>
              <w:t>54</w:t>
            </w:r>
          </w:p>
        </w:tc>
        <w:tc>
          <w:tcPr>
            <w:tcW w:w="1120" w:type="dxa"/>
            <w:tcBorders>
              <w:top w:val="single" w:sz="12" w:space="0" w:color="000000"/>
              <w:left w:val="single" w:sz="8" w:space="0" w:color="000000"/>
              <w:bottom w:val="single" w:sz="18" w:space="0" w:color="000000"/>
              <w:right w:val="single" w:sz="8" w:space="0" w:color="000000"/>
            </w:tcBorders>
            <w:vAlign w:val="center"/>
          </w:tcPr>
          <w:p w14:paraId="0388C60C" w14:textId="677F3865" w:rsidR="001D1A9D" w:rsidRPr="00EA09A1" w:rsidRDefault="001D1A9D" w:rsidP="001A2257">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55</w:t>
            </w:r>
            <w:r w:rsidRPr="00EA09A1">
              <w:rPr>
                <w:rFonts w:ascii="Verdana" w:eastAsia="Times New Roman" w:hAnsi="Verdana"/>
                <w:sz w:val="20"/>
                <w:szCs w:val="20"/>
              </w:rPr>
              <w:t>–</w:t>
            </w:r>
            <w:r w:rsidRPr="00EA09A1">
              <w:rPr>
                <w:rFonts w:eastAsia="Times New Roman"/>
                <w:sz w:val="20"/>
                <w:szCs w:val="20"/>
              </w:rPr>
              <w:t>64</w:t>
            </w:r>
          </w:p>
        </w:tc>
        <w:tc>
          <w:tcPr>
            <w:tcW w:w="1120" w:type="dxa"/>
            <w:tcBorders>
              <w:top w:val="single" w:sz="12" w:space="0" w:color="000000"/>
              <w:left w:val="single" w:sz="8" w:space="0" w:color="000000"/>
              <w:bottom w:val="single" w:sz="18" w:space="0" w:color="000000"/>
              <w:right w:val="single" w:sz="12" w:space="0" w:color="000000"/>
            </w:tcBorders>
            <w:vAlign w:val="center"/>
          </w:tcPr>
          <w:p w14:paraId="312275B4" w14:textId="50B20777" w:rsidR="001D1A9D" w:rsidRPr="00EA09A1" w:rsidRDefault="001D1A9D" w:rsidP="001A2257">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65+</w:t>
            </w:r>
          </w:p>
        </w:tc>
      </w:tr>
      <w:tr w:rsidR="001D1A9D" w:rsidRPr="00EA09A1" w14:paraId="051E725E" w14:textId="77777777" w:rsidTr="001A2257">
        <w:tblPrEx>
          <w:tblBorders>
            <w:top w:val="none" w:sz="0" w:space="0" w:color="auto"/>
          </w:tblBorders>
        </w:tblPrEx>
        <w:trPr>
          <w:trHeight w:val="243"/>
          <w:jc w:val="center"/>
        </w:trPr>
        <w:tc>
          <w:tcPr>
            <w:tcW w:w="1875" w:type="dxa"/>
            <w:tcBorders>
              <w:top w:val="single" w:sz="18" w:space="0" w:color="000000"/>
              <w:left w:val="single" w:sz="12" w:space="0" w:color="000000"/>
              <w:bottom w:val="single" w:sz="4" w:space="0" w:color="000000"/>
              <w:right w:val="single" w:sz="18" w:space="0" w:color="000000"/>
            </w:tcBorders>
            <w:vAlign w:val="center"/>
          </w:tcPr>
          <w:p w14:paraId="307F366B" w14:textId="16A6723B" w:rsidR="001D1A9D" w:rsidRPr="00EA09A1" w:rsidRDefault="001D1A9D"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Very likely</w:t>
            </w:r>
          </w:p>
        </w:tc>
        <w:tc>
          <w:tcPr>
            <w:tcW w:w="1120" w:type="dxa"/>
            <w:tcBorders>
              <w:top w:val="single" w:sz="18" w:space="0" w:color="000000"/>
              <w:left w:val="single" w:sz="8" w:space="0" w:color="000000"/>
              <w:bottom w:val="single" w:sz="4" w:space="0" w:color="000000"/>
              <w:right w:val="single" w:sz="8" w:space="0" w:color="000000"/>
            </w:tcBorders>
            <w:vAlign w:val="center"/>
          </w:tcPr>
          <w:p w14:paraId="1B577613" w14:textId="7CEECDD7"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8.5%</w:t>
            </w:r>
          </w:p>
        </w:tc>
        <w:tc>
          <w:tcPr>
            <w:tcW w:w="1120" w:type="dxa"/>
            <w:tcBorders>
              <w:top w:val="single" w:sz="18" w:space="0" w:color="000000"/>
              <w:left w:val="single" w:sz="8" w:space="0" w:color="000000"/>
              <w:bottom w:val="single" w:sz="4" w:space="0" w:color="000000"/>
              <w:right w:val="single" w:sz="8" w:space="0" w:color="000000"/>
            </w:tcBorders>
            <w:vAlign w:val="center"/>
          </w:tcPr>
          <w:p w14:paraId="376F21AC" w14:textId="4639DBAC"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10%</w:t>
            </w:r>
          </w:p>
        </w:tc>
        <w:tc>
          <w:tcPr>
            <w:tcW w:w="1120" w:type="dxa"/>
            <w:tcBorders>
              <w:top w:val="single" w:sz="18" w:space="0" w:color="000000"/>
              <w:left w:val="single" w:sz="8" w:space="0" w:color="000000"/>
              <w:bottom w:val="single" w:sz="4" w:space="0" w:color="000000"/>
              <w:right w:val="single" w:sz="8" w:space="0" w:color="000000"/>
            </w:tcBorders>
            <w:vAlign w:val="center"/>
          </w:tcPr>
          <w:p w14:paraId="5438B886" w14:textId="75542CD1"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13%</w:t>
            </w:r>
          </w:p>
        </w:tc>
        <w:tc>
          <w:tcPr>
            <w:tcW w:w="1120" w:type="dxa"/>
            <w:tcBorders>
              <w:top w:val="single" w:sz="18" w:space="0" w:color="000000"/>
              <w:left w:val="single" w:sz="8" w:space="0" w:color="000000"/>
              <w:bottom w:val="single" w:sz="4" w:space="0" w:color="000000"/>
              <w:right w:val="single" w:sz="8" w:space="0" w:color="000000"/>
            </w:tcBorders>
            <w:vAlign w:val="center"/>
          </w:tcPr>
          <w:p w14:paraId="2596CAD2" w14:textId="44BC5D5F"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10.5%</w:t>
            </w:r>
          </w:p>
        </w:tc>
        <w:tc>
          <w:tcPr>
            <w:tcW w:w="1120" w:type="dxa"/>
            <w:tcBorders>
              <w:top w:val="single" w:sz="18" w:space="0" w:color="000000"/>
              <w:left w:val="single" w:sz="8" w:space="0" w:color="000000"/>
              <w:bottom w:val="single" w:sz="4" w:space="0" w:color="000000"/>
              <w:right w:val="single" w:sz="8" w:space="0" w:color="000000"/>
            </w:tcBorders>
            <w:shd w:val="clear" w:color="auto" w:fill="auto"/>
            <w:vAlign w:val="center"/>
          </w:tcPr>
          <w:p w14:paraId="05596A28" w14:textId="284B3E94"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3.0%</w:t>
            </w:r>
          </w:p>
        </w:tc>
        <w:tc>
          <w:tcPr>
            <w:tcW w:w="1120" w:type="dxa"/>
            <w:tcBorders>
              <w:top w:val="single" w:sz="18" w:space="0" w:color="000000"/>
              <w:left w:val="single" w:sz="8" w:space="0" w:color="000000"/>
              <w:bottom w:val="single" w:sz="4" w:space="0" w:color="000000"/>
              <w:right w:val="single" w:sz="12" w:space="0" w:color="000000"/>
            </w:tcBorders>
            <w:shd w:val="clear" w:color="auto" w:fill="auto"/>
            <w:vAlign w:val="center"/>
          </w:tcPr>
          <w:p w14:paraId="524A3D4C" w14:textId="0ED2506C"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6.5%</w:t>
            </w:r>
          </w:p>
        </w:tc>
      </w:tr>
      <w:tr w:rsidR="001D1A9D" w:rsidRPr="00EA09A1" w14:paraId="3BD12196" w14:textId="77777777" w:rsidTr="001A2257">
        <w:tblPrEx>
          <w:tblBorders>
            <w:top w:val="none" w:sz="0" w:space="0" w:color="auto"/>
          </w:tblBorders>
        </w:tblPrEx>
        <w:trPr>
          <w:trHeight w:val="243"/>
          <w:jc w:val="center"/>
        </w:trPr>
        <w:tc>
          <w:tcPr>
            <w:tcW w:w="187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1DC8D90C" w14:textId="51E89056" w:rsidR="001D1A9D" w:rsidRPr="00EA09A1" w:rsidRDefault="001D1A9D"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Somewhat likely</w:t>
            </w:r>
          </w:p>
        </w:tc>
        <w:tc>
          <w:tcPr>
            <w:tcW w:w="1120" w:type="dxa"/>
            <w:tcBorders>
              <w:top w:val="single" w:sz="4" w:space="0" w:color="000000"/>
              <w:left w:val="single" w:sz="8" w:space="0" w:color="000000"/>
              <w:bottom w:val="single" w:sz="4" w:space="0" w:color="000000"/>
              <w:right w:val="single" w:sz="8" w:space="0" w:color="000000"/>
            </w:tcBorders>
            <w:shd w:val="clear" w:color="auto" w:fill="D6E3BC" w:themeFill="accent3" w:themeFillTint="66"/>
            <w:vAlign w:val="center"/>
          </w:tcPr>
          <w:p w14:paraId="3D3B5FDA" w14:textId="5334A6FC"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39.5%</w:t>
            </w:r>
          </w:p>
        </w:tc>
        <w:tc>
          <w:tcPr>
            <w:tcW w:w="1120" w:type="dxa"/>
            <w:tcBorders>
              <w:top w:val="single" w:sz="4" w:space="0" w:color="000000"/>
              <w:left w:val="single" w:sz="8" w:space="0" w:color="000000"/>
              <w:bottom w:val="single" w:sz="4" w:space="0" w:color="000000"/>
              <w:right w:val="single" w:sz="8" w:space="0" w:color="000000"/>
            </w:tcBorders>
            <w:shd w:val="clear" w:color="auto" w:fill="D6E3BC" w:themeFill="accent3" w:themeFillTint="66"/>
            <w:vAlign w:val="center"/>
          </w:tcPr>
          <w:p w14:paraId="73217886" w14:textId="6C4B87A2"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42.5%</w:t>
            </w:r>
          </w:p>
        </w:tc>
        <w:tc>
          <w:tcPr>
            <w:tcW w:w="1120" w:type="dxa"/>
            <w:tcBorders>
              <w:top w:val="single" w:sz="4" w:space="0" w:color="000000"/>
              <w:left w:val="single" w:sz="8" w:space="0" w:color="000000"/>
              <w:bottom w:val="single" w:sz="4" w:space="0" w:color="000000"/>
              <w:right w:val="single" w:sz="8" w:space="0" w:color="000000"/>
            </w:tcBorders>
            <w:shd w:val="clear" w:color="auto" w:fill="D6E3BC" w:themeFill="accent3" w:themeFillTint="66"/>
            <w:vAlign w:val="center"/>
          </w:tcPr>
          <w:p w14:paraId="3C648CC7" w14:textId="44EA2118"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41.5%</w:t>
            </w:r>
          </w:p>
        </w:tc>
        <w:tc>
          <w:tcPr>
            <w:tcW w:w="1120" w:type="dxa"/>
            <w:tcBorders>
              <w:top w:val="single" w:sz="4" w:space="0" w:color="000000"/>
              <w:left w:val="single" w:sz="8" w:space="0" w:color="000000"/>
              <w:bottom w:val="single" w:sz="4" w:space="0" w:color="000000"/>
              <w:right w:val="single" w:sz="8" w:space="0" w:color="000000"/>
            </w:tcBorders>
            <w:shd w:val="clear" w:color="auto" w:fill="D6E3BC" w:themeFill="accent3" w:themeFillTint="66"/>
            <w:vAlign w:val="center"/>
          </w:tcPr>
          <w:p w14:paraId="53CF680C" w14:textId="4C7C0FB4"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42%</w:t>
            </w:r>
          </w:p>
        </w:tc>
        <w:tc>
          <w:tcPr>
            <w:tcW w:w="1120" w:type="dxa"/>
            <w:tcBorders>
              <w:top w:val="single" w:sz="4" w:space="0" w:color="000000"/>
              <w:left w:val="single" w:sz="8" w:space="0" w:color="000000"/>
              <w:bottom w:val="single" w:sz="4" w:space="0" w:color="000000"/>
              <w:right w:val="single" w:sz="8" w:space="0" w:color="000000"/>
            </w:tcBorders>
            <w:shd w:val="clear" w:color="auto" w:fill="D6E3BC" w:themeFill="accent3" w:themeFillTint="66"/>
            <w:vAlign w:val="center"/>
          </w:tcPr>
          <w:p w14:paraId="29D8F468" w14:textId="39F9E4DE"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48%</w:t>
            </w:r>
          </w:p>
        </w:tc>
        <w:tc>
          <w:tcPr>
            <w:tcW w:w="1120" w:type="dxa"/>
            <w:tcBorders>
              <w:top w:val="single" w:sz="4" w:space="0" w:color="000000"/>
              <w:left w:val="single" w:sz="8" w:space="0" w:color="000000"/>
              <w:bottom w:val="single" w:sz="4" w:space="0" w:color="000000"/>
              <w:right w:val="single" w:sz="12" w:space="0" w:color="000000"/>
            </w:tcBorders>
            <w:shd w:val="clear" w:color="auto" w:fill="D6E3BC" w:themeFill="accent3" w:themeFillTint="66"/>
            <w:vAlign w:val="center"/>
          </w:tcPr>
          <w:p w14:paraId="0324F4D4" w14:textId="40E2F4C6"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39%</w:t>
            </w:r>
          </w:p>
        </w:tc>
      </w:tr>
      <w:tr w:rsidR="001D1A9D" w:rsidRPr="00EA09A1" w14:paraId="5A31D18A" w14:textId="77777777" w:rsidTr="001A2257">
        <w:tblPrEx>
          <w:tblBorders>
            <w:top w:val="none" w:sz="0" w:space="0" w:color="auto"/>
          </w:tblBorders>
        </w:tblPrEx>
        <w:trPr>
          <w:trHeight w:val="243"/>
          <w:jc w:val="center"/>
        </w:trPr>
        <w:tc>
          <w:tcPr>
            <w:tcW w:w="187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610256A7" w14:textId="67BCDBFB" w:rsidR="001D1A9D" w:rsidRPr="00EA09A1" w:rsidRDefault="001D1A9D"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Unlikely</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1C3295F" w14:textId="313A4143"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28%</w:t>
            </w:r>
          </w:p>
        </w:tc>
        <w:tc>
          <w:tcPr>
            <w:tcW w:w="1120" w:type="dxa"/>
            <w:tcBorders>
              <w:top w:val="single" w:sz="4" w:space="0" w:color="000000"/>
              <w:left w:val="single" w:sz="8" w:space="0" w:color="000000"/>
              <w:bottom w:val="single" w:sz="4" w:space="0" w:color="000000"/>
              <w:right w:val="single" w:sz="8" w:space="0" w:color="000000"/>
            </w:tcBorders>
            <w:vAlign w:val="center"/>
          </w:tcPr>
          <w:p w14:paraId="7FC585F8" w14:textId="3B4A18E0"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23%</w:t>
            </w:r>
          </w:p>
        </w:tc>
        <w:tc>
          <w:tcPr>
            <w:tcW w:w="1120" w:type="dxa"/>
            <w:tcBorders>
              <w:top w:val="single" w:sz="4" w:space="0" w:color="000000"/>
              <w:left w:val="single" w:sz="8" w:space="0" w:color="000000"/>
              <w:bottom w:val="single" w:sz="4" w:space="0" w:color="000000"/>
              <w:right w:val="single" w:sz="8" w:space="0" w:color="000000"/>
            </w:tcBorders>
            <w:vAlign w:val="center"/>
          </w:tcPr>
          <w:p w14:paraId="69CA0DA0" w14:textId="1E4090EA"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22%</w:t>
            </w:r>
          </w:p>
        </w:tc>
        <w:tc>
          <w:tcPr>
            <w:tcW w:w="1120" w:type="dxa"/>
            <w:tcBorders>
              <w:top w:val="single" w:sz="4" w:space="0" w:color="000000"/>
              <w:left w:val="single" w:sz="8" w:space="0" w:color="000000"/>
              <w:bottom w:val="single" w:sz="4" w:space="0" w:color="000000"/>
              <w:right w:val="single" w:sz="8" w:space="0" w:color="000000"/>
            </w:tcBorders>
            <w:vAlign w:val="center"/>
          </w:tcPr>
          <w:p w14:paraId="20BFB6CE" w14:textId="525C8A40"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23%</w:t>
            </w:r>
          </w:p>
        </w:tc>
        <w:tc>
          <w:tcPr>
            <w:tcW w:w="1120" w:type="dxa"/>
            <w:tcBorders>
              <w:top w:val="single" w:sz="4" w:space="0" w:color="000000"/>
              <w:left w:val="single" w:sz="8" w:space="0" w:color="000000"/>
              <w:bottom w:val="single" w:sz="4" w:space="0" w:color="000000"/>
              <w:right w:val="single" w:sz="8" w:space="0" w:color="000000"/>
            </w:tcBorders>
            <w:shd w:val="clear" w:color="auto" w:fill="E5B8B7" w:themeFill="accent2" w:themeFillTint="66"/>
            <w:vAlign w:val="center"/>
          </w:tcPr>
          <w:p w14:paraId="27170026" w14:textId="6CB2A889"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26%</w:t>
            </w:r>
          </w:p>
        </w:tc>
        <w:tc>
          <w:tcPr>
            <w:tcW w:w="1120" w:type="dxa"/>
            <w:tcBorders>
              <w:top w:val="single" w:sz="4" w:space="0" w:color="000000"/>
              <w:left w:val="single" w:sz="8" w:space="0" w:color="000000"/>
              <w:bottom w:val="single" w:sz="4" w:space="0" w:color="000000"/>
              <w:right w:val="single" w:sz="12" w:space="0" w:color="000000"/>
            </w:tcBorders>
            <w:shd w:val="clear" w:color="auto" w:fill="E5B8B7" w:themeFill="accent2" w:themeFillTint="66"/>
            <w:vAlign w:val="center"/>
          </w:tcPr>
          <w:p w14:paraId="386D7517" w14:textId="78660982"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28%</w:t>
            </w:r>
          </w:p>
        </w:tc>
      </w:tr>
      <w:tr w:rsidR="001D1A9D" w:rsidRPr="00EA09A1" w14:paraId="01548C9D" w14:textId="77777777" w:rsidTr="001A2257">
        <w:tblPrEx>
          <w:tblBorders>
            <w:top w:val="none" w:sz="0" w:space="0" w:color="auto"/>
          </w:tblBorders>
        </w:tblPrEx>
        <w:trPr>
          <w:trHeight w:val="243"/>
          <w:jc w:val="center"/>
        </w:trPr>
        <w:tc>
          <w:tcPr>
            <w:tcW w:w="1875" w:type="dxa"/>
            <w:tcBorders>
              <w:top w:val="single" w:sz="4" w:space="0" w:color="000000"/>
              <w:left w:val="single" w:sz="12" w:space="0" w:color="000000"/>
              <w:bottom w:val="single" w:sz="12" w:space="0" w:color="000000"/>
              <w:right w:val="single" w:sz="18" w:space="0" w:color="000000"/>
            </w:tcBorders>
            <w:vAlign w:val="center"/>
          </w:tcPr>
          <w:p w14:paraId="44408156" w14:textId="2FC9B7DD" w:rsidR="001D1A9D" w:rsidRPr="00EA09A1" w:rsidRDefault="001D1A9D"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Highly unlikely</w:t>
            </w:r>
          </w:p>
        </w:tc>
        <w:tc>
          <w:tcPr>
            <w:tcW w:w="1120" w:type="dxa"/>
            <w:tcBorders>
              <w:top w:val="single" w:sz="4" w:space="0" w:color="000000"/>
              <w:left w:val="single" w:sz="8" w:space="0" w:color="000000"/>
              <w:bottom w:val="single" w:sz="12" w:space="0" w:color="000000"/>
              <w:right w:val="single" w:sz="8" w:space="0" w:color="000000"/>
            </w:tcBorders>
            <w:shd w:val="clear" w:color="auto" w:fill="E5B8B7" w:themeFill="accent2" w:themeFillTint="66"/>
            <w:vAlign w:val="center"/>
          </w:tcPr>
          <w:p w14:paraId="79AE90C9" w14:textId="68949661"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23%</w:t>
            </w:r>
          </w:p>
        </w:tc>
        <w:tc>
          <w:tcPr>
            <w:tcW w:w="1120" w:type="dxa"/>
            <w:tcBorders>
              <w:top w:val="single" w:sz="4" w:space="0" w:color="000000"/>
              <w:left w:val="single" w:sz="8" w:space="0" w:color="000000"/>
              <w:bottom w:val="single" w:sz="12" w:space="0" w:color="000000"/>
              <w:right w:val="single" w:sz="8" w:space="0" w:color="000000"/>
            </w:tcBorders>
            <w:vAlign w:val="center"/>
          </w:tcPr>
          <w:p w14:paraId="4E134CF2" w14:textId="5C5E7A3F"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22%</w:t>
            </w:r>
          </w:p>
        </w:tc>
        <w:tc>
          <w:tcPr>
            <w:tcW w:w="1120" w:type="dxa"/>
            <w:tcBorders>
              <w:top w:val="single" w:sz="4" w:space="0" w:color="000000"/>
              <w:left w:val="single" w:sz="8" w:space="0" w:color="000000"/>
              <w:bottom w:val="single" w:sz="12" w:space="0" w:color="000000"/>
              <w:right w:val="single" w:sz="8" w:space="0" w:color="000000"/>
            </w:tcBorders>
            <w:vAlign w:val="center"/>
          </w:tcPr>
          <w:p w14:paraId="5F101B28" w14:textId="27900223"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19.5%</w:t>
            </w:r>
          </w:p>
        </w:tc>
        <w:tc>
          <w:tcPr>
            <w:tcW w:w="1120" w:type="dxa"/>
            <w:tcBorders>
              <w:top w:val="single" w:sz="4" w:space="0" w:color="000000"/>
              <w:left w:val="single" w:sz="8" w:space="0" w:color="000000"/>
              <w:bottom w:val="single" w:sz="12" w:space="0" w:color="000000"/>
              <w:right w:val="single" w:sz="8" w:space="0" w:color="000000"/>
            </w:tcBorders>
            <w:vAlign w:val="center"/>
          </w:tcPr>
          <w:p w14:paraId="001189F9" w14:textId="4AF0890F"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21.5%</w:t>
            </w:r>
          </w:p>
        </w:tc>
        <w:tc>
          <w:tcPr>
            <w:tcW w:w="1120" w:type="dxa"/>
            <w:tcBorders>
              <w:top w:val="single" w:sz="4" w:space="0" w:color="000000"/>
              <w:left w:val="single" w:sz="8" w:space="0" w:color="000000"/>
              <w:bottom w:val="single" w:sz="12" w:space="0" w:color="000000"/>
              <w:right w:val="single" w:sz="8" w:space="0" w:color="000000"/>
            </w:tcBorders>
            <w:shd w:val="clear" w:color="auto" w:fill="auto"/>
            <w:vAlign w:val="center"/>
          </w:tcPr>
          <w:p w14:paraId="38F57957" w14:textId="00259088"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20.5%</w:t>
            </w:r>
          </w:p>
        </w:tc>
        <w:tc>
          <w:tcPr>
            <w:tcW w:w="1120" w:type="dxa"/>
            <w:tcBorders>
              <w:top w:val="single" w:sz="4" w:space="0" w:color="000000"/>
              <w:left w:val="single" w:sz="8" w:space="0" w:color="000000"/>
              <w:bottom w:val="single" w:sz="12" w:space="0" w:color="000000"/>
              <w:right w:val="single" w:sz="12" w:space="0" w:color="000000"/>
            </w:tcBorders>
            <w:shd w:val="clear" w:color="auto" w:fill="E5B8B7" w:themeFill="accent2" w:themeFillTint="66"/>
            <w:vAlign w:val="center"/>
          </w:tcPr>
          <w:p w14:paraId="3C3CBE12" w14:textId="59324BE4" w:rsidR="001D1A9D" w:rsidRPr="00EA09A1" w:rsidRDefault="001D1A9D"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25%</w:t>
            </w:r>
          </w:p>
        </w:tc>
      </w:tr>
    </w:tbl>
    <w:p w14:paraId="23A30EDF" w14:textId="77777777" w:rsidR="0075611D" w:rsidRPr="00EA09A1" w:rsidRDefault="0075611D" w:rsidP="001D1A9D">
      <w:pPr>
        <w:tabs>
          <w:tab w:val="left" w:pos="360"/>
        </w:tabs>
        <w:spacing w:after="0" w:line="240" w:lineRule="auto"/>
        <w:contextualSpacing/>
        <w:mirrorIndents/>
        <w:rPr>
          <w:rFonts w:ascii="Verdana" w:hAnsi="Verdana"/>
          <w:sz w:val="20"/>
          <w:szCs w:val="20"/>
        </w:rPr>
      </w:pPr>
      <w:r w:rsidRPr="00EA09A1">
        <w:rPr>
          <w:sz w:val="16"/>
          <w:szCs w:val="16"/>
        </w:rPr>
        <w:tab/>
        <w:t xml:space="preserve">Tinuiti, October 2019 </w:t>
      </w:r>
    </w:p>
    <w:p w14:paraId="23D2BAA2" w14:textId="77777777" w:rsidR="00F94CE8" w:rsidRPr="00EA09A1" w:rsidRDefault="00F94CE8" w:rsidP="00EA72B7">
      <w:pPr>
        <w:pStyle w:val="NoSpacing"/>
        <w:contextualSpacing/>
        <w:mirrorIndents/>
        <w:rPr>
          <w:rFonts w:ascii="Verdana" w:hAnsi="Verdana"/>
          <w:sz w:val="20"/>
          <w:szCs w:val="20"/>
        </w:rPr>
      </w:pPr>
    </w:p>
    <w:p w14:paraId="664EB1A4" w14:textId="77777777" w:rsidR="00F94CE8" w:rsidRPr="00EA09A1" w:rsidRDefault="00F94CE8" w:rsidP="00EA72B7">
      <w:pPr>
        <w:pStyle w:val="NoSpacing"/>
        <w:contextualSpacing/>
        <w:mirrorIndents/>
        <w:rPr>
          <w:rFonts w:ascii="Verdana" w:hAnsi="Verdana"/>
          <w:sz w:val="20"/>
          <w:szCs w:val="20"/>
        </w:rPr>
      </w:pPr>
    </w:p>
    <w:p w14:paraId="05B35E5D" w14:textId="42318A0B" w:rsidR="00F94CE8" w:rsidRPr="00EA09A1" w:rsidRDefault="00F94CE8" w:rsidP="00437D1E">
      <w:pPr>
        <w:spacing w:after="0" w:line="240" w:lineRule="auto"/>
        <w:contextualSpacing/>
        <w:mirrorIndents/>
        <w:jc w:val="center"/>
        <w:rPr>
          <w:rFonts w:ascii="Verdana" w:hAnsi="Verdana"/>
          <w:sz w:val="20"/>
          <w:szCs w:val="20"/>
        </w:rPr>
      </w:pPr>
      <w:r w:rsidRPr="00EA09A1">
        <w:rPr>
          <w:b/>
          <w:color w:val="0070C0"/>
          <w:sz w:val="20"/>
          <w:szCs w:val="20"/>
        </w:rPr>
        <w:lastRenderedPageBreak/>
        <w:t>Additional Analysis</w:t>
      </w:r>
    </w:p>
    <w:p w14:paraId="4D37D21A" w14:textId="150B6B45" w:rsidR="00F94CE8" w:rsidRPr="00EA09A1" w:rsidRDefault="00F94CE8" w:rsidP="00F94CE8">
      <w:pPr>
        <w:pStyle w:val="NoSpacing"/>
        <w:contextualSpacing/>
        <w:rPr>
          <w:sz w:val="20"/>
          <w:szCs w:val="20"/>
        </w:rPr>
      </w:pPr>
    </w:p>
    <w:p w14:paraId="721EF168" w14:textId="545876FD" w:rsidR="00B7664E" w:rsidRPr="00EA09A1" w:rsidRDefault="00B7664E" w:rsidP="00F94CE8">
      <w:pPr>
        <w:pStyle w:val="NoSpacing"/>
        <w:contextualSpacing/>
        <w:rPr>
          <w:sz w:val="20"/>
          <w:szCs w:val="20"/>
        </w:rPr>
      </w:pPr>
      <w:r w:rsidRPr="00EA09A1">
        <w:rPr>
          <w:sz w:val="20"/>
          <w:szCs w:val="20"/>
        </w:rPr>
        <w:t>According to the following data from Tinu</w:t>
      </w:r>
      <w:r w:rsidR="001A2257" w:rsidRPr="00EA09A1">
        <w:rPr>
          <w:sz w:val="20"/>
          <w:szCs w:val="20"/>
        </w:rPr>
        <w:t>i</w:t>
      </w:r>
      <w:r w:rsidRPr="00EA09A1">
        <w:rPr>
          <w:sz w:val="20"/>
          <w:szCs w:val="20"/>
        </w:rPr>
        <w:t xml:space="preserve">ti’s 2019 Holiday Shopping Predictions and Behaviors report, younger shoppers and women </w:t>
      </w:r>
      <w:r w:rsidR="00A313C4" w:rsidRPr="00EA09A1">
        <w:rPr>
          <w:sz w:val="20"/>
          <w:szCs w:val="20"/>
        </w:rPr>
        <w:t>can be targeted with advertising messages that emphasize budge</w:t>
      </w:r>
      <w:r w:rsidR="001A2257" w:rsidRPr="00EA09A1">
        <w:rPr>
          <w:sz w:val="20"/>
          <w:szCs w:val="20"/>
        </w:rPr>
        <w:t>t-saving offers</w:t>
      </w:r>
      <w:r w:rsidR="00A313C4" w:rsidRPr="00EA09A1">
        <w:rPr>
          <w:sz w:val="20"/>
          <w:szCs w:val="20"/>
        </w:rPr>
        <w:t>. Ad messages that promote deluxe gift</w:t>
      </w:r>
      <w:r w:rsidR="001A2257" w:rsidRPr="00EA09A1">
        <w:rPr>
          <w:sz w:val="20"/>
          <w:szCs w:val="20"/>
        </w:rPr>
        <w:t>-</w:t>
      </w:r>
      <w:r w:rsidR="00A313C4" w:rsidRPr="00EA09A1">
        <w:rPr>
          <w:sz w:val="20"/>
          <w:szCs w:val="20"/>
        </w:rPr>
        <w:t>giving are more likely to motivate men, 35 years of age and older, to spend more.</w:t>
      </w:r>
    </w:p>
    <w:p w14:paraId="731BF89A" w14:textId="77777777" w:rsidR="00B7664E" w:rsidRPr="00EA09A1" w:rsidRDefault="00B7664E" w:rsidP="00F94CE8">
      <w:pPr>
        <w:pStyle w:val="NoSpacing"/>
        <w:contextualSpacing/>
        <w:rPr>
          <w:sz w:val="20"/>
          <w:szCs w:val="20"/>
        </w:rPr>
      </w:pPr>
    </w:p>
    <w:p w14:paraId="2B18F5E7" w14:textId="1C7FD60F" w:rsidR="00380CEE" w:rsidRPr="00EA09A1" w:rsidRDefault="00380CEE" w:rsidP="00380CEE">
      <w:pPr>
        <w:pStyle w:val="Header"/>
        <w:contextualSpacing/>
        <w:jc w:val="center"/>
        <w:rPr>
          <w:b/>
          <w:sz w:val="20"/>
          <w:szCs w:val="20"/>
        </w:rPr>
      </w:pPr>
      <w:r w:rsidRPr="00EA09A1">
        <w:rPr>
          <w:b/>
          <w:sz w:val="20"/>
          <w:szCs w:val="20"/>
        </w:rPr>
        <w:t>2019 Holiday Shopping Season Budget, by Gender and Age Group, October 2019</w:t>
      </w:r>
    </w:p>
    <w:tbl>
      <w:tblPr>
        <w:tblW w:w="8430"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710"/>
        <w:gridCol w:w="1120"/>
        <w:gridCol w:w="1120"/>
        <w:gridCol w:w="1120"/>
        <w:gridCol w:w="1120"/>
        <w:gridCol w:w="1120"/>
        <w:gridCol w:w="1120"/>
      </w:tblGrid>
      <w:tr w:rsidR="00380CEE" w:rsidRPr="00EA09A1" w14:paraId="3E5380C6" w14:textId="77777777" w:rsidTr="00B7664E">
        <w:trPr>
          <w:jc w:val="center"/>
        </w:trPr>
        <w:tc>
          <w:tcPr>
            <w:tcW w:w="1710" w:type="dxa"/>
            <w:tcBorders>
              <w:top w:val="single" w:sz="12" w:space="0" w:color="000000"/>
              <w:left w:val="single" w:sz="12" w:space="0" w:color="000000"/>
              <w:bottom w:val="single" w:sz="18" w:space="0" w:color="000000"/>
              <w:right w:val="single" w:sz="18" w:space="0" w:color="000000"/>
            </w:tcBorders>
            <w:vAlign w:val="center"/>
          </w:tcPr>
          <w:p w14:paraId="779E7B00" w14:textId="0769829E" w:rsidR="00380CEE" w:rsidRPr="00EA09A1" w:rsidRDefault="00B7664E" w:rsidP="00B7664E">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Demographic</w:t>
            </w:r>
          </w:p>
        </w:tc>
        <w:tc>
          <w:tcPr>
            <w:tcW w:w="1120" w:type="dxa"/>
            <w:tcBorders>
              <w:top w:val="single" w:sz="12" w:space="0" w:color="000000"/>
              <w:left w:val="single" w:sz="8" w:space="0" w:color="000000"/>
              <w:bottom w:val="single" w:sz="18" w:space="0" w:color="000000"/>
              <w:right w:val="single" w:sz="8" w:space="0" w:color="000000"/>
            </w:tcBorders>
            <w:vAlign w:val="center"/>
          </w:tcPr>
          <w:p w14:paraId="15E1B846" w14:textId="15B63D68" w:rsidR="00380CEE" w:rsidRPr="00EA09A1" w:rsidRDefault="00B7664E" w:rsidP="00B7664E">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Less than $50</w:t>
            </w:r>
          </w:p>
        </w:tc>
        <w:tc>
          <w:tcPr>
            <w:tcW w:w="1120" w:type="dxa"/>
            <w:tcBorders>
              <w:top w:val="single" w:sz="12" w:space="0" w:color="000000"/>
              <w:left w:val="single" w:sz="8" w:space="0" w:color="000000"/>
              <w:bottom w:val="single" w:sz="18" w:space="0" w:color="000000"/>
              <w:right w:val="single" w:sz="8" w:space="0" w:color="000000"/>
            </w:tcBorders>
            <w:vAlign w:val="center"/>
          </w:tcPr>
          <w:p w14:paraId="0F66FFEB" w14:textId="1A268530" w:rsidR="00380CEE" w:rsidRPr="00EA09A1" w:rsidRDefault="00B7664E" w:rsidP="00B7664E">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$51</w:t>
            </w:r>
            <w:r w:rsidRPr="00EA09A1">
              <w:rPr>
                <w:rFonts w:ascii="Verdana" w:eastAsia="Times New Roman" w:hAnsi="Verdana"/>
                <w:sz w:val="20"/>
                <w:szCs w:val="20"/>
              </w:rPr>
              <w:t>–$100</w:t>
            </w:r>
          </w:p>
        </w:tc>
        <w:tc>
          <w:tcPr>
            <w:tcW w:w="1120" w:type="dxa"/>
            <w:tcBorders>
              <w:top w:val="single" w:sz="12" w:space="0" w:color="000000"/>
              <w:left w:val="single" w:sz="8" w:space="0" w:color="000000"/>
              <w:bottom w:val="single" w:sz="18" w:space="0" w:color="000000"/>
              <w:right w:val="single" w:sz="8" w:space="0" w:color="000000"/>
            </w:tcBorders>
            <w:vAlign w:val="center"/>
          </w:tcPr>
          <w:p w14:paraId="7D748D78" w14:textId="19A7B4E5" w:rsidR="00380CEE" w:rsidRPr="00EA09A1" w:rsidRDefault="00B7664E" w:rsidP="00B7664E">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$101</w:t>
            </w:r>
            <w:r w:rsidRPr="00EA09A1">
              <w:rPr>
                <w:rFonts w:ascii="Verdana" w:eastAsia="Times New Roman" w:hAnsi="Verdana"/>
                <w:sz w:val="20"/>
                <w:szCs w:val="20"/>
              </w:rPr>
              <w:t>–$250</w:t>
            </w:r>
          </w:p>
        </w:tc>
        <w:tc>
          <w:tcPr>
            <w:tcW w:w="1120" w:type="dxa"/>
            <w:tcBorders>
              <w:top w:val="single" w:sz="12" w:space="0" w:color="000000"/>
              <w:left w:val="single" w:sz="8" w:space="0" w:color="000000"/>
              <w:bottom w:val="single" w:sz="18" w:space="0" w:color="000000"/>
              <w:right w:val="single" w:sz="8" w:space="0" w:color="000000"/>
            </w:tcBorders>
            <w:vAlign w:val="center"/>
          </w:tcPr>
          <w:p w14:paraId="7B643026" w14:textId="6525F67A" w:rsidR="00380CEE" w:rsidRPr="00EA09A1" w:rsidRDefault="00B7664E" w:rsidP="00B7664E">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$251</w:t>
            </w:r>
            <w:r w:rsidRPr="00EA09A1">
              <w:rPr>
                <w:rFonts w:ascii="Verdana" w:eastAsia="Times New Roman" w:hAnsi="Verdana"/>
                <w:sz w:val="20"/>
                <w:szCs w:val="20"/>
              </w:rPr>
              <w:t>–$500</w:t>
            </w:r>
          </w:p>
        </w:tc>
        <w:tc>
          <w:tcPr>
            <w:tcW w:w="1120" w:type="dxa"/>
            <w:tcBorders>
              <w:top w:val="single" w:sz="12" w:space="0" w:color="000000"/>
              <w:left w:val="single" w:sz="8" w:space="0" w:color="000000"/>
              <w:bottom w:val="single" w:sz="18" w:space="0" w:color="000000"/>
              <w:right w:val="single" w:sz="8" w:space="0" w:color="000000"/>
            </w:tcBorders>
            <w:vAlign w:val="center"/>
          </w:tcPr>
          <w:p w14:paraId="4D980FE0" w14:textId="4375548D" w:rsidR="00380CEE" w:rsidRPr="00EA09A1" w:rsidRDefault="00B7664E" w:rsidP="00B7664E">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$501</w:t>
            </w:r>
            <w:r w:rsidRPr="00EA09A1">
              <w:rPr>
                <w:rFonts w:ascii="Verdana" w:eastAsia="Times New Roman" w:hAnsi="Verdana"/>
                <w:sz w:val="20"/>
                <w:szCs w:val="20"/>
              </w:rPr>
              <w:t>–$1,000</w:t>
            </w:r>
          </w:p>
        </w:tc>
        <w:tc>
          <w:tcPr>
            <w:tcW w:w="1120" w:type="dxa"/>
            <w:tcBorders>
              <w:top w:val="single" w:sz="12" w:space="0" w:color="000000"/>
              <w:left w:val="single" w:sz="8" w:space="0" w:color="000000"/>
              <w:bottom w:val="single" w:sz="18" w:space="0" w:color="000000"/>
              <w:right w:val="single" w:sz="12" w:space="0" w:color="000000"/>
            </w:tcBorders>
            <w:vAlign w:val="center"/>
          </w:tcPr>
          <w:p w14:paraId="5DA5D7C5" w14:textId="7A45A7CC" w:rsidR="00380CEE" w:rsidRPr="00EA09A1" w:rsidRDefault="00B7664E" w:rsidP="00B7664E">
            <w:pPr>
              <w:widowControl w:val="0"/>
              <w:tabs>
                <w:tab w:val="left" w:pos="220"/>
                <w:tab w:val="left" w:pos="720"/>
              </w:tabs>
              <w:autoSpaceDE w:val="0"/>
              <w:autoSpaceDN w:val="0"/>
              <w:adjustRightInd w:val="0"/>
              <w:spacing w:after="0" w:line="240" w:lineRule="auto"/>
              <w:contextualSpacing/>
              <w:jc w:val="center"/>
              <w:rPr>
                <w:rFonts w:eastAsia="Times New Roman"/>
                <w:sz w:val="20"/>
                <w:szCs w:val="20"/>
              </w:rPr>
            </w:pPr>
            <w:r w:rsidRPr="00EA09A1">
              <w:rPr>
                <w:rFonts w:eastAsia="Times New Roman"/>
                <w:sz w:val="20"/>
                <w:szCs w:val="20"/>
              </w:rPr>
              <w:t>More than $1,000</w:t>
            </w:r>
          </w:p>
        </w:tc>
      </w:tr>
      <w:tr w:rsidR="00380CEE" w:rsidRPr="00EA09A1" w14:paraId="4CD2E3A6" w14:textId="77777777" w:rsidTr="001A2257">
        <w:tblPrEx>
          <w:tblBorders>
            <w:top w:val="none" w:sz="0" w:space="0" w:color="auto"/>
          </w:tblBorders>
        </w:tblPrEx>
        <w:trPr>
          <w:trHeight w:val="243"/>
          <w:jc w:val="center"/>
        </w:trPr>
        <w:tc>
          <w:tcPr>
            <w:tcW w:w="1710" w:type="dxa"/>
            <w:tcBorders>
              <w:top w:val="single" w:sz="18" w:space="0" w:color="000000"/>
              <w:left w:val="single" w:sz="12" w:space="0" w:color="000000"/>
              <w:bottom w:val="single" w:sz="4" w:space="0" w:color="000000"/>
              <w:right w:val="single" w:sz="18" w:space="0" w:color="000000"/>
            </w:tcBorders>
            <w:vAlign w:val="center"/>
          </w:tcPr>
          <w:p w14:paraId="24800E76" w14:textId="3CE1C508" w:rsidR="00380CEE" w:rsidRPr="00EA09A1" w:rsidRDefault="00B7664E"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Men (18+)</w:t>
            </w:r>
          </w:p>
        </w:tc>
        <w:tc>
          <w:tcPr>
            <w:tcW w:w="1120" w:type="dxa"/>
            <w:tcBorders>
              <w:top w:val="single" w:sz="18" w:space="0" w:color="000000"/>
              <w:left w:val="single" w:sz="8" w:space="0" w:color="000000"/>
              <w:bottom w:val="single" w:sz="4" w:space="0" w:color="000000"/>
              <w:right w:val="single" w:sz="8" w:space="0" w:color="000000"/>
            </w:tcBorders>
            <w:shd w:val="clear" w:color="auto" w:fill="auto"/>
            <w:vAlign w:val="center"/>
          </w:tcPr>
          <w:p w14:paraId="5FB7993C" w14:textId="4A8BBE23"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7.0%</w:t>
            </w:r>
          </w:p>
        </w:tc>
        <w:tc>
          <w:tcPr>
            <w:tcW w:w="1120" w:type="dxa"/>
            <w:tcBorders>
              <w:top w:val="single" w:sz="18" w:space="0" w:color="000000"/>
              <w:left w:val="single" w:sz="8" w:space="0" w:color="000000"/>
              <w:bottom w:val="single" w:sz="4" w:space="0" w:color="000000"/>
              <w:right w:val="single" w:sz="8" w:space="0" w:color="000000"/>
            </w:tcBorders>
            <w:shd w:val="clear" w:color="auto" w:fill="auto"/>
            <w:vAlign w:val="center"/>
          </w:tcPr>
          <w:p w14:paraId="217E80DE" w14:textId="4D8BBCB4"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11.5%</w:t>
            </w:r>
          </w:p>
        </w:tc>
        <w:tc>
          <w:tcPr>
            <w:tcW w:w="1120" w:type="dxa"/>
            <w:tcBorders>
              <w:top w:val="single" w:sz="18" w:space="0" w:color="000000"/>
              <w:left w:val="single" w:sz="8" w:space="0" w:color="000000"/>
              <w:bottom w:val="single" w:sz="4" w:space="0" w:color="000000"/>
              <w:right w:val="single" w:sz="8" w:space="0" w:color="000000"/>
            </w:tcBorders>
            <w:shd w:val="clear" w:color="auto" w:fill="auto"/>
            <w:vAlign w:val="center"/>
          </w:tcPr>
          <w:p w14:paraId="0D2297F9" w14:textId="40E9D4A5"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21.5%</w:t>
            </w:r>
          </w:p>
        </w:tc>
        <w:tc>
          <w:tcPr>
            <w:tcW w:w="1120" w:type="dxa"/>
            <w:tcBorders>
              <w:top w:val="single" w:sz="18" w:space="0" w:color="000000"/>
              <w:left w:val="single" w:sz="8" w:space="0" w:color="000000"/>
              <w:bottom w:val="single" w:sz="4" w:space="0" w:color="000000"/>
              <w:right w:val="single" w:sz="8" w:space="0" w:color="000000"/>
            </w:tcBorders>
            <w:shd w:val="clear" w:color="auto" w:fill="auto"/>
            <w:vAlign w:val="center"/>
          </w:tcPr>
          <w:p w14:paraId="032CDE56" w14:textId="6496C9AD"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28%</w:t>
            </w:r>
          </w:p>
        </w:tc>
        <w:tc>
          <w:tcPr>
            <w:tcW w:w="1120" w:type="dxa"/>
            <w:tcBorders>
              <w:top w:val="single" w:sz="18" w:space="0" w:color="000000"/>
              <w:left w:val="single" w:sz="8" w:space="0" w:color="000000"/>
              <w:bottom w:val="single" w:sz="4" w:space="0" w:color="000000"/>
              <w:right w:val="single" w:sz="8" w:space="0" w:color="000000"/>
            </w:tcBorders>
            <w:shd w:val="clear" w:color="auto" w:fill="auto"/>
            <w:vAlign w:val="center"/>
          </w:tcPr>
          <w:p w14:paraId="6B5A4987" w14:textId="0CCCB0F1"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18%</w:t>
            </w:r>
          </w:p>
        </w:tc>
        <w:tc>
          <w:tcPr>
            <w:tcW w:w="1120" w:type="dxa"/>
            <w:tcBorders>
              <w:top w:val="single" w:sz="18" w:space="0" w:color="000000"/>
              <w:left w:val="single" w:sz="8" w:space="0" w:color="000000"/>
              <w:bottom w:val="single" w:sz="4" w:space="0" w:color="000000"/>
              <w:right w:val="single" w:sz="12" w:space="0" w:color="000000"/>
            </w:tcBorders>
            <w:shd w:val="clear" w:color="auto" w:fill="auto"/>
            <w:vAlign w:val="center"/>
          </w:tcPr>
          <w:p w14:paraId="01C3BA68" w14:textId="0222C621"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13.5%</w:t>
            </w:r>
          </w:p>
        </w:tc>
      </w:tr>
      <w:tr w:rsidR="00380CEE" w:rsidRPr="00EA09A1" w14:paraId="28C02914" w14:textId="77777777" w:rsidTr="001A2257">
        <w:tblPrEx>
          <w:tblBorders>
            <w:top w:val="none" w:sz="0" w:space="0" w:color="auto"/>
          </w:tblBorders>
        </w:tblPrEx>
        <w:trPr>
          <w:trHeight w:val="243"/>
          <w:jc w:val="center"/>
        </w:trPr>
        <w:tc>
          <w:tcPr>
            <w:tcW w:w="1710"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5174362A" w14:textId="582AD2C0" w:rsidR="00380CEE" w:rsidRPr="00EA09A1" w:rsidRDefault="00B7664E"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Women (18+)</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24ED873" w14:textId="48AE4D12"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7.5%</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5D2A2E5" w14:textId="6F038584"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13.5%</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CC0136C" w14:textId="4DA686C6"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25%</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FB5BCBF" w14:textId="0C09E9F9"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31.5%</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A16D32A" w14:textId="73A2569A"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14.5%</w:t>
            </w:r>
          </w:p>
        </w:tc>
        <w:tc>
          <w:tcPr>
            <w:tcW w:w="112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18AFBBB1" w14:textId="7EE947F1"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8.0%</w:t>
            </w:r>
          </w:p>
        </w:tc>
      </w:tr>
      <w:tr w:rsidR="00B7664E" w:rsidRPr="00EA09A1" w14:paraId="1D717101" w14:textId="77777777" w:rsidTr="001A2257">
        <w:tblPrEx>
          <w:tblBorders>
            <w:top w:val="none" w:sz="0" w:space="0" w:color="auto"/>
          </w:tblBorders>
        </w:tblPrEx>
        <w:trPr>
          <w:trHeight w:val="243"/>
          <w:jc w:val="center"/>
        </w:trPr>
        <w:tc>
          <w:tcPr>
            <w:tcW w:w="1710"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090B6684" w14:textId="3D7EE896" w:rsidR="00B7664E" w:rsidRPr="00EA09A1" w:rsidRDefault="00B7664E"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18</w:t>
            </w:r>
            <w:r w:rsidRPr="00EA09A1">
              <w:rPr>
                <w:rFonts w:ascii="Verdana" w:eastAsia="Times New Roman" w:hAnsi="Verdana"/>
                <w:sz w:val="20"/>
                <w:szCs w:val="20"/>
              </w:rPr>
              <w:t>–</w:t>
            </w:r>
            <w:r w:rsidRPr="00EA09A1">
              <w:rPr>
                <w:rFonts w:eastAsia="Times New Roman"/>
                <w:sz w:val="20"/>
                <w:szCs w:val="20"/>
              </w:rPr>
              <w:t>24</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568786C" w14:textId="5F6EEA3F"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15.5%</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3E08FFD" w14:textId="5937C5CB"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22.5%</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900C510" w14:textId="7D787AFA"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28%</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D94BCB8" w14:textId="1134D14E"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21.5%</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E18CABD" w14:textId="021A4641"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8%</w:t>
            </w:r>
          </w:p>
        </w:tc>
        <w:tc>
          <w:tcPr>
            <w:tcW w:w="112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1826A415" w14:textId="799A1ACF"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3.5%</w:t>
            </w:r>
          </w:p>
        </w:tc>
      </w:tr>
      <w:tr w:rsidR="00B7664E" w:rsidRPr="00EA09A1" w14:paraId="06CA6882" w14:textId="77777777" w:rsidTr="001A2257">
        <w:tblPrEx>
          <w:tblBorders>
            <w:top w:val="none" w:sz="0" w:space="0" w:color="auto"/>
          </w:tblBorders>
        </w:tblPrEx>
        <w:trPr>
          <w:trHeight w:val="243"/>
          <w:jc w:val="center"/>
        </w:trPr>
        <w:tc>
          <w:tcPr>
            <w:tcW w:w="1710"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4CB0D7E4" w14:textId="26C4409E" w:rsidR="00B7664E" w:rsidRPr="00EA09A1" w:rsidRDefault="00B7664E"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25</w:t>
            </w:r>
            <w:r w:rsidRPr="00EA09A1">
              <w:rPr>
                <w:rFonts w:ascii="Verdana" w:eastAsia="Times New Roman" w:hAnsi="Verdana"/>
                <w:sz w:val="20"/>
                <w:szCs w:val="20"/>
              </w:rPr>
              <w:t>–</w:t>
            </w:r>
            <w:r w:rsidRPr="00EA09A1">
              <w:rPr>
                <w:rFonts w:eastAsia="Times New Roman"/>
                <w:sz w:val="20"/>
                <w:szCs w:val="20"/>
              </w:rPr>
              <w:t>34</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7572B95" w14:textId="62D37BF8"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7.0%</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62FC03B" w14:textId="20EC1A9C"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18%</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0EE6DC1" w14:textId="4E4B018D"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22.5%</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5F5422F" w14:textId="2D1425E1"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27.5%</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CF8B9F9" w14:textId="7A903319"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12%</w:t>
            </w:r>
          </w:p>
        </w:tc>
        <w:tc>
          <w:tcPr>
            <w:tcW w:w="112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7D03686F" w14:textId="2A57D0FD"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8%</w:t>
            </w:r>
          </w:p>
        </w:tc>
      </w:tr>
      <w:tr w:rsidR="00B7664E" w:rsidRPr="00EA09A1" w14:paraId="0845CC53" w14:textId="77777777" w:rsidTr="001A2257">
        <w:tblPrEx>
          <w:tblBorders>
            <w:top w:val="none" w:sz="0" w:space="0" w:color="auto"/>
          </w:tblBorders>
        </w:tblPrEx>
        <w:trPr>
          <w:trHeight w:val="243"/>
          <w:jc w:val="center"/>
        </w:trPr>
        <w:tc>
          <w:tcPr>
            <w:tcW w:w="1710"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4D5C6EC9" w14:textId="76107AC2" w:rsidR="00B7664E" w:rsidRPr="00EA09A1" w:rsidRDefault="00B7664E"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35</w:t>
            </w:r>
            <w:r w:rsidRPr="00EA09A1">
              <w:rPr>
                <w:rFonts w:ascii="Verdana" w:eastAsia="Times New Roman" w:hAnsi="Verdana"/>
                <w:sz w:val="20"/>
                <w:szCs w:val="20"/>
              </w:rPr>
              <w:t>–</w:t>
            </w:r>
            <w:r w:rsidRPr="00EA09A1">
              <w:rPr>
                <w:rFonts w:eastAsia="Times New Roman"/>
                <w:sz w:val="20"/>
                <w:szCs w:val="20"/>
              </w:rPr>
              <w:t>44</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E12EFC1" w14:textId="0C6A9817"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9.5%</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784BE0A" w14:textId="4FE89233"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6.5%</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A7B7A72" w14:textId="2F3ECCDD"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21%</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E154813" w14:textId="272AFC27"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30.5%</w:t>
            </w:r>
          </w:p>
        </w:tc>
        <w:tc>
          <w:tcPr>
            <w:tcW w:w="1120" w:type="dxa"/>
            <w:tcBorders>
              <w:top w:val="single" w:sz="4" w:space="0" w:color="000000"/>
              <w:left w:val="single" w:sz="8" w:space="0" w:color="000000"/>
              <w:bottom w:val="single" w:sz="4" w:space="0" w:color="000000"/>
              <w:right w:val="single" w:sz="8" w:space="0" w:color="000000"/>
            </w:tcBorders>
            <w:shd w:val="clear" w:color="auto" w:fill="C2D69B" w:themeFill="accent3" w:themeFillTint="99"/>
            <w:vAlign w:val="center"/>
          </w:tcPr>
          <w:p w14:paraId="317AC085" w14:textId="72F07B3E"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20%</w:t>
            </w:r>
          </w:p>
        </w:tc>
        <w:tc>
          <w:tcPr>
            <w:tcW w:w="1120" w:type="dxa"/>
            <w:tcBorders>
              <w:top w:val="single" w:sz="4" w:space="0" w:color="000000"/>
              <w:left w:val="single" w:sz="8" w:space="0" w:color="000000"/>
              <w:bottom w:val="single" w:sz="4" w:space="0" w:color="000000"/>
              <w:right w:val="single" w:sz="12" w:space="0" w:color="000000"/>
            </w:tcBorders>
            <w:shd w:val="clear" w:color="auto" w:fill="C2D69B" w:themeFill="accent3" w:themeFillTint="99"/>
            <w:vAlign w:val="center"/>
          </w:tcPr>
          <w:p w14:paraId="4D3869F5" w14:textId="240E5D85"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16%</w:t>
            </w:r>
          </w:p>
        </w:tc>
      </w:tr>
      <w:tr w:rsidR="00B7664E" w:rsidRPr="00EA09A1" w14:paraId="35F6D961" w14:textId="77777777" w:rsidTr="001A2257">
        <w:tblPrEx>
          <w:tblBorders>
            <w:top w:val="none" w:sz="0" w:space="0" w:color="auto"/>
          </w:tblBorders>
        </w:tblPrEx>
        <w:trPr>
          <w:trHeight w:val="243"/>
          <w:jc w:val="center"/>
        </w:trPr>
        <w:tc>
          <w:tcPr>
            <w:tcW w:w="1710"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28B1AF57" w14:textId="0FB8BA36" w:rsidR="00B7664E" w:rsidRPr="00EA09A1" w:rsidRDefault="00B7664E"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45</w:t>
            </w:r>
            <w:r w:rsidRPr="00EA09A1">
              <w:rPr>
                <w:rFonts w:ascii="Verdana" w:eastAsia="Times New Roman" w:hAnsi="Verdana"/>
                <w:sz w:val="20"/>
                <w:szCs w:val="20"/>
              </w:rPr>
              <w:t>–</w:t>
            </w:r>
            <w:r w:rsidRPr="00EA09A1">
              <w:rPr>
                <w:rFonts w:eastAsia="Times New Roman"/>
                <w:sz w:val="20"/>
                <w:szCs w:val="20"/>
              </w:rPr>
              <w:t>54</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3A07193" w14:textId="14029089"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7.5%</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D31ED7D" w14:textId="522E1C21"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11%</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F70D37C" w14:textId="6509FA14"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22%</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66E3EA6" w14:textId="3691559A"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31%</w:t>
            </w:r>
          </w:p>
        </w:tc>
        <w:tc>
          <w:tcPr>
            <w:tcW w:w="1120" w:type="dxa"/>
            <w:tcBorders>
              <w:top w:val="single" w:sz="4" w:space="0" w:color="000000"/>
              <w:left w:val="single" w:sz="8" w:space="0" w:color="000000"/>
              <w:bottom w:val="single" w:sz="4" w:space="0" w:color="000000"/>
              <w:right w:val="single" w:sz="8" w:space="0" w:color="000000"/>
            </w:tcBorders>
            <w:shd w:val="clear" w:color="auto" w:fill="C2D69B" w:themeFill="accent3" w:themeFillTint="99"/>
            <w:vAlign w:val="center"/>
          </w:tcPr>
          <w:p w14:paraId="6E6630DB" w14:textId="76BF1D79"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16.5%</w:t>
            </w:r>
          </w:p>
        </w:tc>
        <w:tc>
          <w:tcPr>
            <w:tcW w:w="1120" w:type="dxa"/>
            <w:tcBorders>
              <w:top w:val="single" w:sz="4" w:space="0" w:color="000000"/>
              <w:left w:val="single" w:sz="8" w:space="0" w:color="000000"/>
              <w:bottom w:val="single" w:sz="4" w:space="0" w:color="000000"/>
              <w:right w:val="single" w:sz="12" w:space="0" w:color="000000"/>
            </w:tcBorders>
            <w:shd w:val="clear" w:color="auto" w:fill="C2D69B" w:themeFill="accent3" w:themeFillTint="99"/>
            <w:vAlign w:val="center"/>
          </w:tcPr>
          <w:p w14:paraId="616D377E" w14:textId="46DAE966" w:rsidR="00B7664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12%</w:t>
            </w:r>
          </w:p>
        </w:tc>
      </w:tr>
      <w:tr w:rsidR="00380CEE" w:rsidRPr="00EA09A1" w14:paraId="0F9BACA5" w14:textId="77777777" w:rsidTr="001A2257">
        <w:tblPrEx>
          <w:tblBorders>
            <w:top w:val="none" w:sz="0" w:space="0" w:color="auto"/>
          </w:tblBorders>
        </w:tblPrEx>
        <w:trPr>
          <w:trHeight w:val="243"/>
          <w:jc w:val="center"/>
        </w:trPr>
        <w:tc>
          <w:tcPr>
            <w:tcW w:w="1710"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6EF4AB72" w14:textId="0AEE3CE3" w:rsidR="00380CEE" w:rsidRPr="00EA09A1" w:rsidRDefault="00B7664E"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55</w:t>
            </w:r>
            <w:r w:rsidRPr="00EA09A1">
              <w:rPr>
                <w:rFonts w:ascii="Verdana" w:eastAsia="Times New Roman" w:hAnsi="Verdana"/>
                <w:sz w:val="20"/>
                <w:szCs w:val="20"/>
              </w:rPr>
              <w:t>–</w:t>
            </w:r>
            <w:r w:rsidRPr="00EA09A1">
              <w:rPr>
                <w:rFonts w:eastAsia="Times New Roman"/>
                <w:sz w:val="20"/>
                <w:szCs w:val="20"/>
              </w:rPr>
              <w:t>64</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B6223AF" w14:textId="02ECCAEE"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7.0%</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EFFC060" w14:textId="50FE73A3"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12%</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483E782" w14:textId="3D692214"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22.5%</w:t>
            </w:r>
          </w:p>
        </w:tc>
        <w:tc>
          <w:tcPr>
            <w:tcW w:w="112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3554EC1" w14:textId="5BC1D841"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31%</w:t>
            </w:r>
          </w:p>
        </w:tc>
        <w:tc>
          <w:tcPr>
            <w:tcW w:w="1120" w:type="dxa"/>
            <w:tcBorders>
              <w:top w:val="single" w:sz="4" w:space="0" w:color="000000"/>
              <w:left w:val="single" w:sz="8" w:space="0" w:color="000000"/>
              <w:bottom w:val="single" w:sz="4" w:space="0" w:color="000000"/>
              <w:right w:val="single" w:sz="8" w:space="0" w:color="000000"/>
            </w:tcBorders>
            <w:shd w:val="clear" w:color="auto" w:fill="C2D69B" w:themeFill="accent3" w:themeFillTint="99"/>
            <w:vAlign w:val="center"/>
          </w:tcPr>
          <w:p w14:paraId="7ABB0492" w14:textId="6C4B47E0"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17.5%</w:t>
            </w:r>
          </w:p>
        </w:tc>
        <w:tc>
          <w:tcPr>
            <w:tcW w:w="112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73AB59A9" w14:textId="78642826"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8%</w:t>
            </w:r>
          </w:p>
        </w:tc>
      </w:tr>
      <w:tr w:rsidR="00380CEE" w:rsidRPr="00EA09A1" w14:paraId="667B073C" w14:textId="77777777" w:rsidTr="001A2257">
        <w:tblPrEx>
          <w:tblBorders>
            <w:top w:val="none" w:sz="0" w:space="0" w:color="auto"/>
          </w:tblBorders>
        </w:tblPrEx>
        <w:trPr>
          <w:trHeight w:val="243"/>
          <w:jc w:val="center"/>
        </w:trPr>
        <w:tc>
          <w:tcPr>
            <w:tcW w:w="1710" w:type="dxa"/>
            <w:tcBorders>
              <w:top w:val="single" w:sz="4" w:space="0" w:color="000000"/>
              <w:left w:val="single" w:sz="12" w:space="0" w:color="000000"/>
              <w:bottom w:val="single" w:sz="12" w:space="0" w:color="000000"/>
              <w:right w:val="single" w:sz="18" w:space="0" w:color="000000"/>
            </w:tcBorders>
            <w:vAlign w:val="center"/>
          </w:tcPr>
          <w:p w14:paraId="623B0058" w14:textId="30D34886" w:rsidR="00380CEE" w:rsidRPr="00EA09A1" w:rsidRDefault="00B7664E" w:rsidP="00B7664E">
            <w:pPr>
              <w:widowControl w:val="0"/>
              <w:tabs>
                <w:tab w:val="left" w:pos="220"/>
                <w:tab w:val="left" w:pos="720"/>
              </w:tabs>
              <w:autoSpaceDE w:val="0"/>
              <w:autoSpaceDN w:val="0"/>
              <w:adjustRightInd w:val="0"/>
              <w:spacing w:after="0" w:line="240" w:lineRule="auto"/>
              <w:contextualSpacing/>
              <w:rPr>
                <w:rFonts w:eastAsia="Times New Roman"/>
                <w:sz w:val="20"/>
                <w:szCs w:val="20"/>
              </w:rPr>
            </w:pPr>
            <w:r w:rsidRPr="00EA09A1">
              <w:rPr>
                <w:rFonts w:eastAsia="Times New Roman"/>
                <w:sz w:val="20"/>
                <w:szCs w:val="20"/>
              </w:rPr>
              <w:t>65+</w:t>
            </w:r>
          </w:p>
        </w:tc>
        <w:tc>
          <w:tcPr>
            <w:tcW w:w="1120" w:type="dxa"/>
            <w:tcBorders>
              <w:top w:val="single" w:sz="4" w:space="0" w:color="000000"/>
              <w:left w:val="single" w:sz="8" w:space="0" w:color="000000"/>
              <w:bottom w:val="single" w:sz="12" w:space="0" w:color="000000"/>
              <w:right w:val="single" w:sz="8" w:space="0" w:color="000000"/>
            </w:tcBorders>
            <w:shd w:val="clear" w:color="auto" w:fill="auto"/>
            <w:vAlign w:val="center"/>
          </w:tcPr>
          <w:p w14:paraId="0C8917F9" w14:textId="429C131A"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6.0%</w:t>
            </w:r>
          </w:p>
        </w:tc>
        <w:tc>
          <w:tcPr>
            <w:tcW w:w="1120" w:type="dxa"/>
            <w:tcBorders>
              <w:top w:val="single" w:sz="4" w:space="0" w:color="000000"/>
              <w:left w:val="single" w:sz="8" w:space="0" w:color="000000"/>
              <w:bottom w:val="single" w:sz="12" w:space="0" w:color="000000"/>
              <w:right w:val="single" w:sz="8" w:space="0" w:color="000000"/>
            </w:tcBorders>
            <w:shd w:val="clear" w:color="auto" w:fill="auto"/>
            <w:vAlign w:val="center"/>
          </w:tcPr>
          <w:p w14:paraId="0269636F" w14:textId="35A05D3E"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11.5%</w:t>
            </w:r>
          </w:p>
        </w:tc>
        <w:tc>
          <w:tcPr>
            <w:tcW w:w="1120" w:type="dxa"/>
            <w:tcBorders>
              <w:top w:val="single" w:sz="4" w:space="0" w:color="000000"/>
              <w:left w:val="single" w:sz="8" w:space="0" w:color="000000"/>
              <w:bottom w:val="single" w:sz="12" w:space="0" w:color="000000"/>
              <w:right w:val="single" w:sz="8" w:space="0" w:color="000000"/>
            </w:tcBorders>
            <w:shd w:val="clear" w:color="auto" w:fill="auto"/>
            <w:vAlign w:val="center"/>
          </w:tcPr>
          <w:p w14:paraId="201840BD" w14:textId="2B8B6AD7"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22.5%</w:t>
            </w:r>
          </w:p>
        </w:tc>
        <w:tc>
          <w:tcPr>
            <w:tcW w:w="1120" w:type="dxa"/>
            <w:tcBorders>
              <w:top w:val="single" w:sz="4" w:space="0" w:color="000000"/>
              <w:left w:val="single" w:sz="8" w:space="0" w:color="000000"/>
              <w:bottom w:val="single" w:sz="12" w:space="0" w:color="000000"/>
              <w:right w:val="single" w:sz="8" w:space="0" w:color="000000"/>
            </w:tcBorders>
            <w:shd w:val="clear" w:color="auto" w:fill="auto"/>
            <w:vAlign w:val="center"/>
          </w:tcPr>
          <w:p w14:paraId="5D785AF8" w14:textId="4C5FFAAC"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31%</w:t>
            </w:r>
          </w:p>
        </w:tc>
        <w:tc>
          <w:tcPr>
            <w:tcW w:w="1120" w:type="dxa"/>
            <w:tcBorders>
              <w:top w:val="single" w:sz="4" w:space="0" w:color="000000"/>
              <w:left w:val="single" w:sz="8" w:space="0" w:color="000000"/>
              <w:bottom w:val="single" w:sz="12" w:space="0" w:color="000000"/>
              <w:right w:val="single" w:sz="8" w:space="0" w:color="000000"/>
            </w:tcBorders>
            <w:shd w:val="clear" w:color="auto" w:fill="C2D69B" w:themeFill="accent3" w:themeFillTint="99"/>
            <w:vAlign w:val="center"/>
          </w:tcPr>
          <w:p w14:paraId="6D46B16F" w14:textId="45C00FFD"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18%</w:t>
            </w:r>
          </w:p>
        </w:tc>
        <w:tc>
          <w:tcPr>
            <w:tcW w:w="1120" w:type="dxa"/>
            <w:tcBorders>
              <w:top w:val="single" w:sz="4" w:space="0" w:color="000000"/>
              <w:left w:val="single" w:sz="8" w:space="0" w:color="000000"/>
              <w:bottom w:val="single" w:sz="12" w:space="0" w:color="000000"/>
              <w:right w:val="single" w:sz="12" w:space="0" w:color="000000"/>
            </w:tcBorders>
            <w:shd w:val="clear" w:color="auto" w:fill="auto"/>
            <w:vAlign w:val="center"/>
          </w:tcPr>
          <w:p w14:paraId="4C11EB41" w14:textId="1108AE17" w:rsidR="00380CEE" w:rsidRPr="00EA09A1" w:rsidRDefault="00B7664E" w:rsidP="001A225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eastAsia="Times New Roman"/>
                <w:sz w:val="20"/>
                <w:szCs w:val="20"/>
              </w:rPr>
            </w:pPr>
            <w:r w:rsidRPr="00EA09A1">
              <w:rPr>
                <w:rFonts w:eastAsia="Times New Roman"/>
                <w:sz w:val="20"/>
                <w:szCs w:val="20"/>
              </w:rPr>
              <w:t>8.5%</w:t>
            </w:r>
          </w:p>
        </w:tc>
      </w:tr>
    </w:tbl>
    <w:p w14:paraId="18D174D9" w14:textId="77777777" w:rsidR="00380CEE" w:rsidRPr="00EA09A1" w:rsidRDefault="00380CEE" w:rsidP="00B7664E">
      <w:pPr>
        <w:tabs>
          <w:tab w:val="left" w:pos="450"/>
        </w:tabs>
        <w:spacing w:after="0" w:line="240" w:lineRule="auto"/>
        <w:contextualSpacing/>
        <w:mirrorIndents/>
        <w:rPr>
          <w:rFonts w:ascii="Verdana" w:hAnsi="Verdana"/>
          <w:sz w:val="20"/>
          <w:szCs w:val="20"/>
        </w:rPr>
      </w:pPr>
      <w:r w:rsidRPr="00EA09A1">
        <w:rPr>
          <w:sz w:val="16"/>
          <w:szCs w:val="16"/>
        </w:rPr>
        <w:tab/>
        <w:t xml:space="preserve">Tinuiti, October 2019 </w:t>
      </w:r>
    </w:p>
    <w:p w14:paraId="718411C0" w14:textId="77777777" w:rsidR="00F94CE8" w:rsidRPr="00EA09A1" w:rsidRDefault="00F94CE8" w:rsidP="00F94CE8">
      <w:pPr>
        <w:pStyle w:val="NoSpacing"/>
        <w:contextualSpacing/>
        <w:rPr>
          <w:sz w:val="20"/>
          <w:szCs w:val="20"/>
        </w:rPr>
      </w:pPr>
    </w:p>
    <w:p w14:paraId="72A9D893" w14:textId="77777777" w:rsidR="00F94CE8" w:rsidRPr="00EA09A1" w:rsidRDefault="00F94CE8" w:rsidP="00F94CE8">
      <w:pPr>
        <w:pStyle w:val="NoSpacing"/>
        <w:contextualSpacing/>
        <w:rPr>
          <w:sz w:val="20"/>
          <w:szCs w:val="20"/>
        </w:rPr>
      </w:pPr>
    </w:p>
    <w:p w14:paraId="1399CDC2" w14:textId="6691C065" w:rsidR="001C15C1" w:rsidRDefault="001C15C1" w:rsidP="001C15C1">
      <w:pPr>
        <w:pStyle w:val="NoSpacing"/>
        <w:contextualSpacing/>
        <w:rPr>
          <w:b/>
          <w:color w:val="0070C0"/>
          <w:sz w:val="20"/>
          <w:szCs w:val="20"/>
        </w:rPr>
      </w:pPr>
      <w:r w:rsidRPr="005F7A04">
        <w:rPr>
          <w:b/>
          <w:color w:val="0070C0"/>
          <w:sz w:val="20"/>
          <w:szCs w:val="20"/>
        </w:rPr>
        <w:t xml:space="preserve">Please read the </w:t>
      </w:r>
      <w:r>
        <w:rPr>
          <w:b/>
          <w:color w:val="0070C0"/>
          <w:sz w:val="20"/>
          <w:szCs w:val="20"/>
        </w:rPr>
        <w:t xml:space="preserve">other </w:t>
      </w:r>
      <w:r w:rsidRPr="005F7A04">
        <w:rPr>
          <w:b/>
          <w:color w:val="0070C0"/>
          <w:sz w:val="20"/>
          <w:szCs w:val="20"/>
        </w:rPr>
        <w:t xml:space="preserve">complementary </w:t>
      </w:r>
      <w:r>
        <w:rPr>
          <w:b/>
          <w:color w:val="0070C0"/>
          <w:sz w:val="20"/>
          <w:szCs w:val="20"/>
        </w:rPr>
        <w:t>Late Holiday Shopping</w:t>
      </w:r>
      <w:r>
        <w:rPr>
          <w:b/>
          <w:color w:val="0070C0"/>
          <w:sz w:val="20"/>
          <w:szCs w:val="20"/>
        </w:rPr>
        <w:t xml:space="preserve"> 2019 </w:t>
      </w:r>
      <w:r w:rsidRPr="005F7A04">
        <w:rPr>
          <w:b/>
          <w:color w:val="0070C0"/>
          <w:sz w:val="20"/>
          <w:szCs w:val="20"/>
        </w:rPr>
        <w:t>Profiler</w:t>
      </w:r>
      <w:r>
        <w:rPr>
          <w:b/>
          <w:color w:val="0070C0"/>
          <w:sz w:val="20"/>
          <w:szCs w:val="20"/>
        </w:rPr>
        <w:t>s for more information:</w:t>
      </w:r>
      <w:r>
        <w:rPr>
          <w:b/>
          <w:color w:val="0070C0"/>
          <w:sz w:val="20"/>
          <w:szCs w:val="20"/>
        </w:rPr>
        <w:t xml:space="preserve"> Online Is On-Target and Gifts and Celebrations.</w:t>
      </w:r>
    </w:p>
    <w:p w14:paraId="78E679E8" w14:textId="77777777" w:rsidR="00F94CE8" w:rsidRPr="00EA09A1" w:rsidRDefault="00F94CE8" w:rsidP="00F94CE8">
      <w:pPr>
        <w:pStyle w:val="NoSpacing"/>
        <w:contextualSpacing/>
        <w:rPr>
          <w:sz w:val="20"/>
          <w:szCs w:val="20"/>
        </w:rPr>
      </w:pPr>
    </w:p>
    <w:p w14:paraId="3CDFB8E2" w14:textId="77777777" w:rsidR="00F94CE8" w:rsidRPr="00EA09A1" w:rsidRDefault="00F94CE8" w:rsidP="00F94CE8">
      <w:pPr>
        <w:pStyle w:val="NoSpacing"/>
        <w:contextualSpacing/>
        <w:rPr>
          <w:sz w:val="20"/>
          <w:szCs w:val="20"/>
        </w:rPr>
      </w:pPr>
    </w:p>
    <w:p w14:paraId="6DC49CD3" w14:textId="77777777" w:rsidR="00F94CE8" w:rsidRPr="00EA09A1" w:rsidRDefault="00F94CE8" w:rsidP="00F94CE8">
      <w:pPr>
        <w:pStyle w:val="NoSpacing"/>
        <w:contextualSpacing/>
        <w:rPr>
          <w:sz w:val="20"/>
          <w:szCs w:val="20"/>
        </w:rPr>
      </w:pPr>
    </w:p>
    <w:p w14:paraId="2AC14BFB" w14:textId="77777777" w:rsidR="00F94CE8" w:rsidRPr="00EA09A1" w:rsidRDefault="00F94CE8" w:rsidP="00F94CE8">
      <w:pPr>
        <w:pStyle w:val="NoSpacing"/>
        <w:contextualSpacing/>
        <w:rPr>
          <w:sz w:val="20"/>
          <w:szCs w:val="20"/>
        </w:rPr>
      </w:pPr>
    </w:p>
    <w:p w14:paraId="548CA371" w14:textId="77777777" w:rsidR="00F94CE8" w:rsidRPr="00EA09A1" w:rsidRDefault="00F94CE8" w:rsidP="00F94CE8">
      <w:pPr>
        <w:pStyle w:val="NoSpacing"/>
        <w:contextualSpacing/>
        <w:rPr>
          <w:sz w:val="20"/>
          <w:szCs w:val="20"/>
        </w:rPr>
      </w:pPr>
      <w:bookmarkStart w:id="0" w:name="_GoBack"/>
      <w:bookmarkEnd w:id="0"/>
    </w:p>
    <w:p w14:paraId="3266F5ED" w14:textId="77777777" w:rsidR="00F94CE8" w:rsidRPr="00EA09A1" w:rsidRDefault="00F94CE8" w:rsidP="00F94CE8">
      <w:pPr>
        <w:pStyle w:val="NoSpacing"/>
        <w:contextualSpacing/>
        <w:rPr>
          <w:sz w:val="20"/>
          <w:szCs w:val="20"/>
        </w:rPr>
      </w:pPr>
    </w:p>
    <w:p w14:paraId="32F550B4" w14:textId="77777777" w:rsidR="00F94CE8" w:rsidRPr="00EA09A1" w:rsidRDefault="00F94CE8" w:rsidP="00F94CE8">
      <w:pPr>
        <w:pStyle w:val="NoSpacing"/>
        <w:contextualSpacing/>
        <w:rPr>
          <w:sz w:val="20"/>
          <w:szCs w:val="20"/>
        </w:rPr>
      </w:pPr>
    </w:p>
    <w:p w14:paraId="0825C76F" w14:textId="77777777" w:rsidR="00F94CE8" w:rsidRPr="00EA09A1" w:rsidRDefault="00F94CE8" w:rsidP="00F94CE8">
      <w:pPr>
        <w:pStyle w:val="NoSpacing"/>
        <w:contextualSpacing/>
        <w:rPr>
          <w:sz w:val="20"/>
          <w:szCs w:val="20"/>
        </w:rPr>
      </w:pPr>
    </w:p>
    <w:p w14:paraId="2C60B016" w14:textId="77777777" w:rsidR="00F94CE8" w:rsidRPr="00EA09A1" w:rsidRDefault="00F94CE8" w:rsidP="00F94CE8">
      <w:pPr>
        <w:pStyle w:val="NoSpacing"/>
        <w:contextualSpacing/>
        <w:rPr>
          <w:sz w:val="20"/>
          <w:szCs w:val="20"/>
        </w:rPr>
      </w:pPr>
    </w:p>
    <w:p w14:paraId="14500FC4" w14:textId="77777777" w:rsidR="00F94CE8" w:rsidRPr="00EA09A1" w:rsidRDefault="00F94CE8" w:rsidP="00F94CE8">
      <w:pPr>
        <w:pStyle w:val="NoSpacing"/>
        <w:contextualSpacing/>
        <w:rPr>
          <w:sz w:val="20"/>
          <w:szCs w:val="20"/>
        </w:rPr>
      </w:pPr>
    </w:p>
    <w:p w14:paraId="5E798886" w14:textId="77777777" w:rsidR="00F94CE8" w:rsidRPr="00EA09A1" w:rsidRDefault="00F94CE8" w:rsidP="00F94CE8">
      <w:pPr>
        <w:pStyle w:val="NoSpacing"/>
        <w:contextualSpacing/>
        <w:rPr>
          <w:sz w:val="20"/>
          <w:szCs w:val="20"/>
        </w:rPr>
      </w:pPr>
    </w:p>
    <w:p w14:paraId="777770F7" w14:textId="43AFCADA" w:rsidR="00F94CE8" w:rsidRPr="00EA09A1" w:rsidRDefault="00F94CE8" w:rsidP="00F94CE8">
      <w:pPr>
        <w:pStyle w:val="NoSpacing"/>
        <w:contextualSpacing/>
        <w:rPr>
          <w:sz w:val="20"/>
          <w:szCs w:val="20"/>
        </w:rPr>
      </w:pPr>
    </w:p>
    <w:p w14:paraId="2E59C4A2" w14:textId="44D9548A" w:rsidR="007B3FE0" w:rsidRPr="00EA09A1" w:rsidRDefault="007B3FE0" w:rsidP="00F94CE8">
      <w:pPr>
        <w:pStyle w:val="NoSpacing"/>
        <w:contextualSpacing/>
        <w:rPr>
          <w:sz w:val="20"/>
          <w:szCs w:val="20"/>
        </w:rPr>
      </w:pPr>
    </w:p>
    <w:p w14:paraId="608D1C3B" w14:textId="2080E511" w:rsidR="007B3FE0" w:rsidRPr="00EA09A1" w:rsidRDefault="007B3FE0" w:rsidP="00F94CE8">
      <w:pPr>
        <w:pStyle w:val="NoSpacing"/>
        <w:contextualSpacing/>
        <w:rPr>
          <w:sz w:val="20"/>
          <w:szCs w:val="20"/>
        </w:rPr>
      </w:pPr>
    </w:p>
    <w:p w14:paraId="0BE08AA8" w14:textId="4033FB77" w:rsidR="007B3FE0" w:rsidRPr="00EA09A1" w:rsidRDefault="007B3FE0" w:rsidP="00F94CE8">
      <w:pPr>
        <w:pStyle w:val="NoSpacing"/>
        <w:contextualSpacing/>
        <w:rPr>
          <w:sz w:val="20"/>
          <w:szCs w:val="20"/>
        </w:rPr>
      </w:pPr>
    </w:p>
    <w:p w14:paraId="2542D30F" w14:textId="0FA79D3A" w:rsidR="007B3FE0" w:rsidRPr="00EA09A1" w:rsidRDefault="007B3FE0" w:rsidP="00F94CE8">
      <w:pPr>
        <w:pStyle w:val="NoSpacing"/>
        <w:contextualSpacing/>
        <w:rPr>
          <w:sz w:val="20"/>
          <w:szCs w:val="20"/>
        </w:rPr>
      </w:pPr>
    </w:p>
    <w:p w14:paraId="2C476515" w14:textId="77777777" w:rsidR="007B3FE0" w:rsidRPr="00EA09A1" w:rsidRDefault="007B3FE0" w:rsidP="00F94CE8">
      <w:pPr>
        <w:pStyle w:val="NoSpacing"/>
        <w:contextualSpacing/>
        <w:rPr>
          <w:sz w:val="20"/>
          <w:szCs w:val="20"/>
        </w:rPr>
      </w:pPr>
    </w:p>
    <w:p w14:paraId="3C35B056" w14:textId="77777777" w:rsidR="00F94CE8" w:rsidRPr="00EA09A1" w:rsidRDefault="00F94CE8" w:rsidP="00F94CE8">
      <w:pPr>
        <w:pStyle w:val="NoSpacing"/>
        <w:contextualSpacing/>
        <w:rPr>
          <w:sz w:val="20"/>
          <w:szCs w:val="20"/>
        </w:rPr>
      </w:pPr>
    </w:p>
    <w:p w14:paraId="72BAAFC7" w14:textId="22FEEC0F" w:rsidR="00F94CE8" w:rsidRPr="00EA09A1" w:rsidRDefault="00F94CE8" w:rsidP="00F94CE8">
      <w:pPr>
        <w:spacing w:after="0" w:line="240" w:lineRule="auto"/>
        <w:rPr>
          <w:rFonts w:ascii="Verdana" w:hAnsi="Verdana"/>
          <w:sz w:val="16"/>
          <w:szCs w:val="16"/>
        </w:rPr>
      </w:pPr>
      <w:r w:rsidRPr="00EA09A1">
        <w:rPr>
          <w:rFonts w:ascii="Verdana" w:hAnsi="Verdana"/>
          <w:i/>
          <w:sz w:val="16"/>
        </w:rPr>
        <w:t>Sources:</w:t>
      </w:r>
      <w:r w:rsidRPr="00EA09A1">
        <w:rPr>
          <w:rFonts w:ascii="Verdana" w:hAnsi="Verdana"/>
          <w:sz w:val="16"/>
        </w:rPr>
        <w:t xml:space="preserve"> </w:t>
      </w:r>
      <w:r w:rsidR="007B3FE0" w:rsidRPr="00EA09A1">
        <w:rPr>
          <w:sz w:val="16"/>
          <w:szCs w:val="16"/>
        </w:rPr>
        <w:t xml:space="preserve">National Retail Federation </w:t>
      </w:r>
      <w:r w:rsidRPr="00EA09A1">
        <w:rPr>
          <w:rFonts w:ascii="Verdana" w:hAnsi="Verdana"/>
          <w:sz w:val="16"/>
          <w:szCs w:val="16"/>
        </w:rPr>
        <w:t xml:space="preserve">Website, </w:t>
      </w:r>
      <w:r w:rsidR="000C7821" w:rsidRPr="00EA09A1">
        <w:rPr>
          <w:rFonts w:ascii="Verdana" w:hAnsi="Verdana"/>
          <w:sz w:val="16"/>
          <w:szCs w:val="16"/>
        </w:rPr>
        <w:t>1</w:t>
      </w:r>
      <w:r w:rsidR="00400606" w:rsidRPr="00EA09A1">
        <w:rPr>
          <w:rFonts w:ascii="Verdana" w:hAnsi="Verdana"/>
          <w:sz w:val="16"/>
          <w:szCs w:val="16"/>
        </w:rPr>
        <w:t>1</w:t>
      </w:r>
      <w:r w:rsidR="00306D88" w:rsidRPr="00EA09A1">
        <w:rPr>
          <w:rFonts w:ascii="Verdana" w:hAnsi="Verdana"/>
          <w:sz w:val="16"/>
          <w:szCs w:val="16"/>
        </w:rPr>
        <w:t>/1</w:t>
      </w:r>
      <w:r w:rsidR="002E1F38" w:rsidRPr="00EA09A1">
        <w:rPr>
          <w:rFonts w:ascii="Verdana" w:hAnsi="Verdana"/>
          <w:sz w:val="16"/>
          <w:szCs w:val="16"/>
        </w:rPr>
        <w:t>9</w:t>
      </w:r>
      <w:r w:rsidRPr="00EA09A1">
        <w:rPr>
          <w:rFonts w:ascii="Verdana" w:hAnsi="Verdana"/>
          <w:sz w:val="16"/>
          <w:szCs w:val="16"/>
        </w:rPr>
        <w:t xml:space="preserve">; </w:t>
      </w:r>
      <w:r w:rsidR="007B3FE0" w:rsidRPr="00EA09A1">
        <w:rPr>
          <w:sz w:val="16"/>
          <w:szCs w:val="16"/>
        </w:rPr>
        <w:t>eMarketer</w:t>
      </w:r>
      <w:r w:rsidR="007B3FE0" w:rsidRPr="00EA09A1">
        <w:rPr>
          <w:rFonts w:ascii="Verdana" w:hAnsi="Verdana"/>
          <w:sz w:val="16"/>
          <w:szCs w:val="16"/>
        </w:rPr>
        <w:t xml:space="preserve"> </w:t>
      </w:r>
      <w:r w:rsidRPr="00EA09A1">
        <w:rPr>
          <w:rFonts w:ascii="Verdana" w:hAnsi="Verdana"/>
          <w:sz w:val="16"/>
          <w:szCs w:val="16"/>
        </w:rPr>
        <w:t xml:space="preserve">Website, </w:t>
      </w:r>
      <w:r w:rsidR="000C7821" w:rsidRPr="00EA09A1">
        <w:rPr>
          <w:rFonts w:ascii="Verdana" w:hAnsi="Verdana"/>
          <w:sz w:val="16"/>
          <w:szCs w:val="16"/>
        </w:rPr>
        <w:t>1</w:t>
      </w:r>
      <w:r w:rsidR="00400606" w:rsidRPr="00EA09A1">
        <w:rPr>
          <w:rFonts w:ascii="Verdana" w:hAnsi="Verdana"/>
          <w:sz w:val="16"/>
          <w:szCs w:val="16"/>
        </w:rPr>
        <w:t>1</w:t>
      </w:r>
      <w:r w:rsidR="00306D88" w:rsidRPr="00EA09A1">
        <w:rPr>
          <w:rFonts w:ascii="Verdana" w:hAnsi="Verdana"/>
          <w:sz w:val="16"/>
          <w:szCs w:val="16"/>
        </w:rPr>
        <w:t>/1</w:t>
      </w:r>
      <w:r w:rsidR="002E1F38" w:rsidRPr="00EA09A1">
        <w:rPr>
          <w:rFonts w:ascii="Verdana" w:hAnsi="Verdana"/>
          <w:sz w:val="16"/>
          <w:szCs w:val="16"/>
        </w:rPr>
        <w:t>9</w:t>
      </w:r>
      <w:r w:rsidRPr="00EA09A1">
        <w:rPr>
          <w:rFonts w:ascii="Verdana" w:hAnsi="Verdana"/>
          <w:sz w:val="16"/>
          <w:szCs w:val="16"/>
        </w:rPr>
        <w:t xml:space="preserve">; </w:t>
      </w:r>
      <w:r w:rsidR="007B3FE0" w:rsidRPr="00EA09A1">
        <w:rPr>
          <w:sz w:val="16"/>
          <w:szCs w:val="16"/>
        </w:rPr>
        <w:t>CNBC</w:t>
      </w:r>
      <w:r w:rsidR="007B3FE0" w:rsidRPr="00EA09A1">
        <w:rPr>
          <w:rFonts w:ascii="Verdana" w:hAnsi="Verdana"/>
          <w:sz w:val="16"/>
          <w:szCs w:val="16"/>
        </w:rPr>
        <w:t xml:space="preserve"> </w:t>
      </w:r>
      <w:r w:rsidRPr="00EA09A1">
        <w:rPr>
          <w:rFonts w:ascii="Verdana" w:hAnsi="Verdana"/>
          <w:sz w:val="16"/>
          <w:szCs w:val="16"/>
        </w:rPr>
        <w:t>Website</w:t>
      </w:r>
      <w:r w:rsidR="00A00453" w:rsidRPr="00EA09A1">
        <w:rPr>
          <w:rFonts w:ascii="Verdana" w:hAnsi="Verdana"/>
          <w:sz w:val="16"/>
          <w:szCs w:val="16"/>
        </w:rPr>
        <w:t xml:space="preserve">, </w:t>
      </w:r>
      <w:r w:rsidR="000C7821" w:rsidRPr="00EA09A1">
        <w:rPr>
          <w:rFonts w:ascii="Verdana" w:hAnsi="Verdana"/>
          <w:sz w:val="16"/>
          <w:szCs w:val="16"/>
        </w:rPr>
        <w:t>1</w:t>
      </w:r>
      <w:r w:rsidR="00400606" w:rsidRPr="00EA09A1">
        <w:rPr>
          <w:rFonts w:ascii="Verdana" w:hAnsi="Verdana"/>
          <w:sz w:val="16"/>
          <w:szCs w:val="16"/>
        </w:rPr>
        <w:t>1</w:t>
      </w:r>
      <w:r w:rsidR="00306D88" w:rsidRPr="00EA09A1">
        <w:rPr>
          <w:rFonts w:ascii="Verdana" w:hAnsi="Verdana"/>
          <w:sz w:val="16"/>
          <w:szCs w:val="16"/>
        </w:rPr>
        <w:t>/1</w:t>
      </w:r>
      <w:r w:rsidR="002E1F38" w:rsidRPr="00EA09A1">
        <w:rPr>
          <w:rFonts w:ascii="Verdana" w:hAnsi="Verdana"/>
          <w:sz w:val="16"/>
          <w:szCs w:val="16"/>
        </w:rPr>
        <w:t>9</w:t>
      </w:r>
      <w:r w:rsidR="007B3FE0" w:rsidRPr="00EA09A1">
        <w:rPr>
          <w:rFonts w:ascii="Verdana" w:hAnsi="Verdana"/>
          <w:sz w:val="16"/>
          <w:szCs w:val="16"/>
        </w:rPr>
        <w:t xml:space="preserve">; </w:t>
      </w:r>
      <w:r w:rsidR="007B3FE0" w:rsidRPr="00EA09A1">
        <w:rPr>
          <w:sz w:val="16"/>
          <w:szCs w:val="16"/>
        </w:rPr>
        <w:t>Retail Dive Website</w:t>
      </w:r>
      <w:r w:rsidR="007B3FE0" w:rsidRPr="00EA09A1">
        <w:rPr>
          <w:rFonts w:ascii="Verdana" w:hAnsi="Verdana"/>
          <w:sz w:val="16"/>
          <w:szCs w:val="16"/>
        </w:rPr>
        <w:t>, 11/19;</w:t>
      </w:r>
      <w:r w:rsidR="007B3FE0" w:rsidRPr="00EA09A1">
        <w:rPr>
          <w:sz w:val="16"/>
          <w:szCs w:val="16"/>
        </w:rPr>
        <w:t xml:space="preserve"> </w:t>
      </w:r>
      <w:r w:rsidR="007B3FE0" w:rsidRPr="00EA09A1">
        <w:rPr>
          <w:i/>
          <w:sz w:val="16"/>
          <w:szCs w:val="16"/>
        </w:rPr>
        <w:t>Candy &amp; Snack Today</w:t>
      </w:r>
      <w:r w:rsidR="007B3FE0" w:rsidRPr="00EA09A1">
        <w:rPr>
          <w:sz w:val="16"/>
          <w:szCs w:val="16"/>
        </w:rPr>
        <w:t xml:space="preserve"> Website</w:t>
      </w:r>
      <w:r w:rsidR="007B3FE0" w:rsidRPr="00EA09A1">
        <w:rPr>
          <w:rFonts w:ascii="Verdana" w:hAnsi="Verdana"/>
          <w:sz w:val="16"/>
          <w:szCs w:val="16"/>
        </w:rPr>
        <w:t>, 11/19;</w:t>
      </w:r>
      <w:r w:rsidR="007B3FE0" w:rsidRPr="00EA09A1">
        <w:rPr>
          <w:sz w:val="16"/>
          <w:szCs w:val="16"/>
        </w:rPr>
        <w:t xml:space="preserve"> Gallup Website</w:t>
      </w:r>
      <w:r w:rsidR="007B3FE0" w:rsidRPr="00EA09A1">
        <w:rPr>
          <w:rFonts w:ascii="Verdana" w:hAnsi="Verdana"/>
          <w:sz w:val="16"/>
          <w:szCs w:val="16"/>
        </w:rPr>
        <w:t>, 11/19;</w:t>
      </w:r>
      <w:r w:rsidR="007B3FE0" w:rsidRPr="00EA09A1">
        <w:rPr>
          <w:sz w:val="16"/>
          <w:szCs w:val="16"/>
        </w:rPr>
        <w:t xml:space="preserve"> Tinuiti Website</w:t>
      </w:r>
      <w:r w:rsidR="007B3FE0" w:rsidRPr="00EA09A1">
        <w:rPr>
          <w:rFonts w:ascii="Verdana" w:hAnsi="Verdana"/>
          <w:sz w:val="16"/>
          <w:szCs w:val="16"/>
        </w:rPr>
        <w:t>, 11/19;</w:t>
      </w:r>
      <w:r w:rsidR="007B3FE0" w:rsidRPr="00EA09A1">
        <w:rPr>
          <w:sz w:val="16"/>
          <w:szCs w:val="16"/>
        </w:rPr>
        <w:t xml:space="preserve"> Field Agent Website</w:t>
      </w:r>
      <w:r w:rsidR="007B3FE0" w:rsidRPr="00EA09A1">
        <w:rPr>
          <w:rFonts w:ascii="Verdana" w:hAnsi="Verdana"/>
          <w:sz w:val="16"/>
          <w:szCs w:val="16"/>
        </w:rPr>
        <w:t>, 11/19;</w:t>
      </w:r>
      <w:r w:rsidR="007B3FE0" w:rsidRPr="00EA09A1">
        <w:rPr>
          <w:sz w:val="16"/>
          <w:szCs w:val="16"/>
        </w:rPr>
        <w:t xml:space="preserve"> </w:t>
      </w:r>
      <w:r w:rsidR="007B3FE0" w:rsidRPr="00EA09A1">
        <w:rPr>
          <w:i/>
          <w:sz w:val="16"/>
          <w:szCs w:val="16"/>
        </w:rPr>
        <w:t>Forbes</w:t>
      </w:r>
      <w:r w:rsidR="007B3FE0" w:rsidRPr="00EA09A1">
        <w:rPr>
          <w:sz w:val="16"/>
          <w:szCs w:val="16"/>
        </w:rPr>
        <w:t xml:space="preserve"> Website</w:t>
      </w:r>
      <w:r w:rsidR="007B3FE0" w:rsidRPr="00EA09A1">
        <w:rPr>
          <w:rFonts w:ascii="Verdana" w:hAnsi="Verdana"/>
          <w:sz w:val="16"/>
          <w:szCs w:val="16"/>
        </w:rPr>
        <w:t>, 11/19.</w:t>
      </w:r>
    </w:p>
    <w:p w14:paraId="7EF64BA4" w14:textId="77777777" w:rsidR="00F94CE8" w:rsidRPr="00EA09A1" w:rsidRDefault="00F94CE8" w:rsidP="00F94CE8">
      <w:pPr>
        <w:spacing w:after="0" w:line="240" w:lineRule="auto"/>
        <w:rPr>
          <w:rFonts w:ascii="Verdana" w:hAnsi="Verdana"/>
          <w:sz w:val="16"/>
        </w:rPr>
      </w:pPr>
    </w:p>
    <w:p w14:paraId="49C0D793" w14:textId="60CDD8B6" w:rsidR="00F94CE8" w:rsidRPr="00EA09A1" w:rsidRDefault="00F94CE8" w:rsidP="00F94CE8">
      <w:pPr>
        <w:spacing w:after="0" w:line="240" w:lineRule="auto"/>
        <w:rPr>
          <w:rFonts w:ascii="Verdana" w:hAnsi="Verdana"/>
          <w:strike/>
          <w:sz w:val="16"/>
        </w:rPr>
      </w:pPr>
      <w:r w:rsidRPr="00EA09A1">
        <w:rPr>
          <w:rFonts w:ascii="Verdana" w:hAnsi="Verdana"/>
          <w:i/>
          <w:sz w:val="16"/>
        </w:rPr>
        <w:t>Updated</w:t>
      </w:r>
      <w:r w:rsidR="003F0FE1" w:rsidRPr="00EA09A1">
        <w:rPr>
          <w:rFonts w:ascii="Verdana" w:hAnsi="Verdana"/>
          <w:sz w:val="16"/>
        </w:rPr>
        <w:t xml:space="preserve">: </w:t>
      </w:r>
      <w:r w:rsidR="00400606" w:rsidRPr="00EA09A1">
        <w:rPr>
          <w:rFonts w:ascii="Verdana" w:hAnsi="Verdana"/>
          <w:sz w:val="16"/>
        </w:rPr>
        <w:t>Novem</w:t>
      </w:r>
      <w:r w:rsidR="000D2F3A" w:rsidRPr="00EA09A1">
        <w:rPr>
          <w:rFonts w:ascii="Verdana" w:hAnsi="Verdana"/>
          <w:sz w:val="16"/>
        </w:rPr>
        <w:t>ber</w:t>
      </w:r>
      <w:r w:rsidR="002E1F38" w:rsidRPr="00EA09A1">
        <w:rPr>
          <w:rFonts w:ascii="Verdana" w:hAnsi="Verdana"/>
          <w:sz w:val="16"/>
        </w:rPr>
        <w:t xml:space="preserve"> 2019</w:t>
      </w:r>
    </w:p>
    <w:p w14:paraId="061B0C21" w14:textId="77777777" w:rsidR="00F94CE8" w:rsidRPr="00EA09A1" w:rsidRDefault="00F94CE8" w:rsidP="00F94CE8">
      <w:pPr>
        <w:pStyle w:val="NoSpacing"/>
        <w:contextualSpacing/>
        <w:rPr>
          <w:sz w:val="20"/>
          <w:szCs w:val="20"/>
        </w:rPr>
      </w:pPr>
    </w:p>
    <w:p w14:paraId="56AD0CC7" w14:textId="36A96073" w:rsidR="00F94CE8" w:rsidRPr="00EA09A1" w:rsidRDefault="00F94CE8" w:rsidP="00F94CE8">
      <w:pPr>
        <w:pStyle w:val="NoSpacing"/>
        <w:contextualSpacing/>
        <w:rPr>
          <w:sz w:val="16"/>
          <w:szCs w:val="16"/>
        </w:rPr>
      </w:pPr>
      <w:r w:rsidRPr="00EA09A1">
        <w:rPr>
          <w:rFonts w:ascii="Verdana" w:hAnsi="Verdana"/>
          <w:sz w:val="16"/>
          <w:szCs w:val="16"/>
        </w:rPr>
        <w:t>©</w:t>
      </w:r>
      <w:r w:rsidR="00306D88" w:rsidRPr="00EA09A1">
        <w:rPr>
          <w:sz w:val="16"/>
          <w:szCs w:val="16"/>
        </w:rPr>
        <w:t xml:space="preserve"> 201</w:t>
      </w:r>
      <w:r w:rsidR="00875007" w:rsidRPr="00EA09A1">
        <w:rPr>
          <w:sz w:val="16"/>
          <w:szCs w:val="16"/>
        </w:rPr>
        <w:t>9</w:t>
      </w:r>
      <w:r w:rsidRPr="00EA09A1">
        <w:rPr>
          <w:sz w:val="16"/>
          <w:szCs w:val="16"/>
        </w:rPr>
        <w:t xml:space="preserve"> Media Group Online, Inc. All rights reserved.</w:t>
      </w:r>
    </w:p>
    <w:p w14:paraId="47D01060" w14:textId="64A6C5D5" w:rsidR="00F94CE8" w:rsidRPr="00EA09A1" w:rsidRDefault="00F94CE8" w:rsidP="00260DE9">
      <w:pPr>
        <w:pStyle w:val="NoSpacing"/>
        <w:rPr>
          <w:sz w:val="20"/>
          <w:szCs w:val="20"/>
        </w:rPr>
      </w:pPr>
    </w:p>
    <w:p w14:paraId="6D0066ED" w14:textId="4379772D" w:rsidR="00AE1F72" w:rsidRPr="00EA09A1" w:rsidRDefault="00AE1F72" w:rsidP="00260DE9">
      <w:pPr>
        <w:pStyle w:val="NoSpacing"/>
        <w:rPr>
          <w:sz w:val="20"/>
          <w:szCs w:val="20"/>
        </w:rPr>
      </w:pPr>
    </w:p>
    <w:p w14:paraId="392FDD45" w14:textId="49FD9425" w:rsidR="00AE1F72" w:rsidRPr="00EA09A1" w:rsidRDefault="00AE1F72" w:rsidP="007B3FE0">
      <w:pPr>
        <w:jc w:val="center"/>
        <w:rPr>
          <w:sz w:val="20"/>
          <w:szCs w:val="20"/>
        </w:rPr>
      </w:pPr>
      <w:r w:rsidRPr="00EA09A1">
        <w:rPr>
          <w:sz w:val="20"/>
          <w:szCs w:val="20"/>
        </w:rPr>
        <w:br w:type="page"/>
      </w:r>
      <w:r w:rsidRPr="00EA09A1">
        <w:rPr>
          <w:b/>
          <w:color w:val="0070C0"/>
          <w:sz w:val="20"/>
          <w:szCs w:val="20"/>
        </w:rPr>
        <w:lastRenderedPageBreak/>
        <w:t>For Your Local and Station Information</w:t>
      </w:r>
    </w:p>
    <w:p w14:paraId="17AD3F99" w14:textId="77777777" w:rsidR="00AE1F72" w:rsidRPr="00EA09A1" w:rsidRDefault="00AE1F72" w:rsidP="00260DE9">
      <w:pPr>
        <w:pStyle w:val="NoSpacing"/>
        <w:rPr>
          <w:sz w:val="20"/>
          <w:szCs w:val="20"/>
        </w:rPr>
      </w:pPr>
    </w:p>
    <w:p w14:paraId="48887205" w14:textId="77777777" w:rsidR="00EA09A1" w:rsidRPr="00EA09A1" w:rsidRDefault="00EA09A1">
      <w:pPr>
        <w:pStyle w:val="NoSpacing"/>
        <w:rPr>
          <w:sz w:val="20"/>
          <w:szCs w:val="20"/>
        </w:rPr>
      </w:pPr>
    </w:p>
    <w:sectPr w:rsidR="00EA09A1" w:rsidRPr="00EA09A1"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47121" w14:textId="77777777" w:rsidR="008A3B02" w:rsidRDefault="008A3B02" w:rsidP="00260DE9">
      <w:pPr>
        <w:spacing w:after="0" w:line="240" w:lineRule="auto"/>
      </w:pPr>
      <w:r>
        <w:separator/>
      </w:r>
    </w:p>
  </w:endnote>
  <w:endnote w:type="continuationSeparator" w:id="0">
    <w:p w14:paraId="7F5B10B2" w14:textId="77777777" w:rsidR="008A3B02" w:rsidRDefault="008A3B02"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63B7" w14:textId="77777777" w:rsidR="00B7664E" w:rsidRDefault="00B7664E"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B7664E" w:rsidRPr="0097480E" w:rsidRDefault="00B7664E"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10974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A01D1" w14:textId="77777777" w:rsidR="008A3B02" w:rsidRDefault="008A3B02" w:rsidP="00260DE9">
      <w:pPr>
        <w:spacing w:after="0" w:line="240" w:lineRule="auto"/>
      </w:pPr>
      <w:r>
        <w:separator/>
      </w:r>
    </w:p>
  </w:footnote>
  <w:footnote w:type="continuationSeparator" w:id="0">
    <w:p w14:paraId="244920D8" w14:textId="77777777" w:rsidR="008A3B02" w:rsidRDefault="008A3B02"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3DC73" w14:textId="77777777" w:rsidR="00B7664E" w:rsidRDefault="00B7664E">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7F7BFB"/>
    <w:multiLevelType w:val="hybridMultilevel"/>
    <w:tmpl w:val="6F847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1B2B98"/>
    <w:multiLevelType w:val="hybridMultilevel"/>
    <w:tmpl w:val="74FA2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F32665"/>
    <w:multiLevelType w:val="hybridMultilevel"/>
    <w:tmpl w:val="AAF29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DF126B"/>
    <w:multiLevelType w:val="hybridMultilevel"/>
    <w:tmpl w:val="9D82F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7D130F"/>
    <w:multiLevelType w:val="hybridMultilevel"/>
    <w:tmpl w:val="BE5C5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B60238"/>
    <w:multiLevelType w:val="hybridMultilevel"/>
    <w:tmpl w:val="ADA4F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52A8"/>
    <w:rsid w:val="00005FF3"/>
    <w:rsid w:val="000577D6"/>
    <w:rsid w:val="000830D7"/>
    <w:rsid w:val="000C7821"/>
    <w:rsid w:val="000D2F3A"/>
    <w:rsid w:val="000D7C07"/>
    <w:rsid w:val="00112A85"/>
    <w:rsid w:val="001403C9"/>
    <w:rsid w:val="00153C9F"/>
    <w:rsid w:val="00184D24"/>
    <w:rsid w:val="001A2257"/>
    <w:rsid w:val="001B64B0"/>
    <w:rsid w:val="001C15C1"/>
    <w:rsid w:val="001D1A9D"/>
    <w:rsid w:val="00201539"/>
    <w:rsid w:val="00243ED1"/>
    <w:rsid w:val="00260DE9"/>
    <w:rsid w:val="00294474"/>
    <w:rsid w:val="002A4A73"/>
    <w:rsid w:val="002A6286"/>
    <w:rsid w:val="002E1F38"/>
    <w:rsid w:val="00306D88"/>
    <w:rsid w:val="00380CEE"/>
    <w:rsid w:val="003B417B"/>
    <w:rsid w:val="003C15ED"/>
    <w:rsid w:val="003D6958"/>
    <w:rsid w:val="003E2E9B"/>
    <w:rsid w:val="003F0FE1"/>
    <w:rsid w:val="00400606"/>
    <w:rsid w:val="00412473"/>
    <w:rsid w:val="00422A36"/>
    <w:rsid w:val="00437D1E"/>
    <w:rsid w:val="0045212B"/>
    <w:rsid w:val="0046193A"/>
    <w:rsid w:val="00494CA5"/>
    <w:rsid w:val="004B2CEB"/>
    <w:rsid w:val="004D4671"/>
    <w:rsid w:val="00520014"/>
    <w:rsid w:val="00536A96"/>
    <w:rsid w:val="00571D6A"/>
    <w:rsid w:val="00596832"/>
    <w:rsid w:val="00635FF3"/>
    <w:rsid w:val="00637CB9"/>
    <w:rsid w:val="00657B52"/>
    <w:rsid w:val="006B025B"/>
    <w:rsid w:val="006E6275"/>
    <w:rsid w:val="007147B2"/>
    <w:rsid w:val="007257B5"/>
    <w:rsid w:val="0075611D"/>
    <w:rsid w:val="007651A4"/>
    <w:rsid w:val="007862CF"/>
    <w:rsid w:val="00793BD0"/>
    <w:rsid w:val="007B3FE0"/>
    <w:rsid w:val="007B6E29"/>
    <w:rsid w:val="007D3185"/>
    <w:rsid w:val="00803D40"/>
    <w:rsid w:val="00875007"/>
    <w:rsid w:val="0088505B"/>
    <w:rsid w:val="0089324F"/>
    <w:rsid w:val="008A3B02"/>
    <w:rsid w:val="008D459C"/>
    <w:rsid w:val="00903532"/>
    <w:rsid w:val="009229BB"/>
    <w:rsid w:val="00931A86"/>
    <w:rsid w:val="009419F0"/>
    <w:rsid w:val="0097480E"/>
    <w:rsid w:val="00996E92"/>
    <w:rsid w:val="009A3EBE"/>
    <w:rsid w:val="009A50DA"/>
    <w:rsid w:val="009A5D08"/>
    <w:rsid w:val="009A6479"/>
    <w:rsid w:val="009E7FE6"/>
    <w:rsid w:val="00A00453"/>
    <w:rsid w:val="00A02FFC"/>
    <w:rsid w:val="00A031C1"/>
    <w:rsid w:val="00A12BB9"/>
    <w:rsid w:val="00A313C4"/>
    <w:rsid w:val="00A55AAE"/>
    <w:rsid w:val="00A71026"/>
    <w:rsid w:val="00A94BBA"/>
    <w:rsid w:val="00AA27FF"/>
    <w:rsid w:val="00AE087E"/>
    <w:rsid w:val="00AE1DA7"/>
    <w:rsid w:val="00AE1F72"/>
    <w:rsid w:val="00AE71B7"/>
    <w:rsid w:val="00B33B46"/>
    <w:rsid w:val="00B529C3"/>
    <w:rsid w:val="00B625B1"/>
    <w:rsid w:val="00B7664E"/>
    <w:rsid w:val="00BC0DB8"/>
    <w:rsid w:val="00BE4BEC"/>
    <w:rsid w:val="00BE6652"/>
    <w:rsid w:val="00C147E3"/>
    <w:rsid w:val="00C21D13"/>
    <w:rsid w:val="00C54007"/>
    <w:rsid w:val="00CE3B31"/>
    <w:rsid w:val="00D0721F"/>
    <w:rsid w:val="00D17DB0"/>
    <w:rsid w:val="00D26223"/>
    <w:rsid w:val="00D34F34"/>
    <w:rsid w:val="00DC4F7C"/>
    <w:rsid w:val="00DE0FDD"/>
    <w:rsid w:val="00E31C88"/>
    <w:rsid w:val="00E45F8D"/>
    <w:rsid w:val="00E9461C"/>
    <w:rsid w:val="00EA09A1"/>
    <w:rsid w:val="00EA72B7"/>
    <w:rsid w:val="00ED42A4"/>
    <w:rsid w:val="00EF6801"/>
    <w:rsid w:val="00EF6AB9"/>
    <w:rsid w:val="00F2704A"/>
    <w:rsid w:val="00F70E29"/>
    <w:rsid w:val="00F94CE8"/>
    <w:rsid w:val="00FA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 w:type="paragraph" w:styleId="ListParagraph">
    <w:name w:val="List Paragraph"/>
    <w:basedOn w:val="Normal"/>
    <w:uiPriority w:val="34"/>
    <w:qFormat/>
    <w:rsid w:val="009A5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CD177-7441-AD4C-86F2-C950A478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2019-11-16T18:55:00Z</dcterms:created>
  <dcterms:modified xsi:type="dcterms:W3CDTF">2019-11-16T18:55:00Z</dcterms:modified>
</cp:coreProperties>
</file>